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AA401">
      <w:pPr>
        <w:ind w:right="-6"/>
        <w:jc w:val="center"/>
        <w:rPr>
          <w:rFonts w:ascii="Times New Roman" w:hAnsi="Times New Roman"/>
          <w:b/>
          <w:sz w:val="24"/>
          <w:szCs w:val="24"/>
          <w:lang w:val="ro-RO"/>
        </w:rPr>
      </w:pPr>
    </w:p>
    <w:p w14:paraId="2CA2818C">
      <w:pPr>
        <w:spacing w:after="0"/>
        <w:ind w:right="-6"/>
        <w:jc w:val="center"/>
        <w:rPr>
          <w:rFonts w:ascii="Times New Roman" w:hAnsi="Times New Roman"/>
          <w:b/>
          <w:sz w:val="24"/>
          <w:szCs w:val="24"/>
          <w:lang w:val="ro-RO"/>
        </w:rPr>
      </w:pPr>
      <w:r>
        <w:rPr>
          <w:rFonts w:ascii="Times New Roman" w:hAnsi="Times New Roman"/>
          <w:b/>
          <w:sz w:val="24"/>
          <w:szCs w:val="24"/>
          <w:lang w:val="ro-RO"/>
        </w:rPr>
        <w:t xml:space="preserve">FIŞA POSTULUI </w:t>
      </w:r>
    </w:p>
    <w:p w14:paraId="7150A0C3">
      <w:pPr>
        <w:spacing w:after="0"/>
        <w:ind w:right="-6"/>
        <w:jc w:val="center"/>
        <w:rPr>
          <w:rFonts w:ascii="Times New Roman" w:hAnsi="Times New Roman"/>
          <w:b/>
          <w:sz w:val="24"/>
          <w:szCs w:val="24"/>
          <w:lang w:val="ro-RO"/>
        </w:rPr>
      </w:pPr>
      <w:r>
        <w:rPr>
          <w:rFonts w:ascii="Times New Roman" w:hAnsi="Times New Roman"/>
          <w:b/>
          <w:sz w:val="24"/>
          <w:szCs w:val="24"/>
          <w:lang w:val="ro-RO"/>
        </w:rPr>
        <w:t>DIRECTOR LICEU</w:t>
      </w:r>
    </w:p>
    <w:p w14:paraId="3D344EED">
      <w:pPr>
        <w:spacing w:after="0"/>
        <w:ind w:right="-6"/>
        <w:jc w:val="center"/>
        <w:rPr>
          <w:rFonts w:ascii="Times New Roman" w:hAnsi="Times New Roman"/>
          <w:bCs/>
          <w:sz w:val="24"/>
          <w:szCs w:val="24"/>
          <w:lang w:val="ro-RO"/>
        </w:rPr>
      </w:pPr>
      <w:r>
        <w:rPr>
          <w:rFonts w:ascii="Times New Roman" w:hAnsi="Times New Roman"/>
          <w:bCs/>
          <w:sz w:val="24"/>
          <w:szCs w:val="24"/>
          <w:lang w:val="ro-RO"/>
        </w:rPr>
        <w:t>(anexă la contractul de management nr. / )</w:t>
      </w:r>
    </w:p>
    <w:p w14:paraId="1AC4BE21">
      <w:pPr>
        <w:ind w:right="-6"/>
        <w:jc w:val="center"/>
        <w:rPr>
          <w:rFonts w:ascii="Times New Roman" w:hAnsi="Times New Roman"/>
          <w:b/>
          <w:sz w:val="24"/>
          <w:szCs w:val="24"/>
          <w:lang w:val="ro-RO"/>
        </w:rPr>
      </w:pPr>
    </w:p>
    <w:p w14:paraId="08BEBE46">
      <w:pPr>
        <w:rPr>
          <w:rFonts w:ascii="Times New Roman" w:hAnsi="Times New Roman" w:eastAsia="Times New Roman"/>
          <w:sz w:val="24"/>
          <w:szCs w:val="24"/>
          <w:lang w:val="ro-RO"/>
        </w:rPr>
      </w:pPr>
    </w:p>
    <w:p w14:paraId="18964572">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Funcția: Director liceu</w:t>
      </w:r>
    </w:p>
    <w:p w14:paraId="57F2DADD">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Numele și prenumele:</w:t>
      </w:r>
    </w:p>
    <w:p w14:paraId="1AC32FD2">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Unitatea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învățământ: </w:t>
      </w:r>
    </w:p>
    <w:p w14:paraId="4D0E5578">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Structuri arondate:</w:t>
      </w:r>
    </w:p>
    <w:p w14:paraId="39F1AFB1">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Număr grupe/clase: </w:t>
      </w:r>
    </w:p>
    <w:p w14:paraId="07EDDDA4">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Studii: </w:t>
      </w:r>
    </w:p>
    <w:p w14:paraId="4B5C82DE">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Specialitatea:</w:t>
      </w:r>
    </w:p>
    <w:p w14:paraId="37155185">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Anul absolvirii: </w:t>
      </w:r>
    </w:p>
    <w:p w14:paraId="47E5311C">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învățământ: </w:t>
      </w:r>
    </w:p>
    <w:p w14:paraId="3E99D83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Gradul didactic: </w:t>
      </w:r>
    </w:p>
    <w:p w14:paraId="2F077B3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Obligația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predare: </w:t>
      </w:r>
    </w:p>
    <w:p w14:paraId="4D0D9A6E">
      <w:pPr>
        <w:widowControl w:val="0"/>
        <w:autoSpaceDE w:val="0"/>
        <w:autoSpaceDN w:val="0"/>
        <w:spacing w:before="43" w:after="0"/>
        <w:rPr>
          <w:rFonts w:ascii="Times New Roman" w:hAnsi="Times New Roman"/>
          <w:b/>
          <w:color w:val="000000"/>
          <w:spacing w:val="1"/>
          <w:sz w:val="24"/>
          <w:szCs w:val="24"/>
          <w:lang w:val="ro-RO"/>
        </w:rPr>
      </w:pPr>
      <w:r>
        <w:rPr>
          <w:rFonts w:ascii="Times New Roman" w:hAnsi="Times New Roman"/>
          <w:b/>
          <w:color w:val="000000"/>
          <w:sz w:val="24"/>
          <w:szCs w:val="24"/>
          <w:lang w:val="ro-RO"/>
        </w:rPr>
        <w:t xml:space="preserve">Numire </w:t>
      </w:r>
      <w:r>
        <w:rPr>
          <w:rFonts w:ascii="Times New Roman" w:hAnsi="Times New Roman"/>
          <w:b/>
          <w:color w:val="000000"/>
          <w:spacing w:val="-1"/>
          <w:sz w:val="24"/>
          <w:szCs w:val="24"/>
          <w:lang w:val="ro-RO"/>
        </w:rPr>
        <w:t xml:space="preserve">prin </w:t>
      </w:r>
      <w:r>
        <w:rPr>
          <w:rFonts w:ascii="Times New Roman" w:hAnsi="Times New Roman"/>
          <w:b/>
          <w:color w:val="000000"/>
          <w:sz w:val="24"/>
          <w:szCs w:val="24"/>
          <w:lang w:val="ro-RO"/>
        </w:rPr>
        <w:t xml:space="preserve">Decizia inspectorului școlar general </w:t>
      </w:r>
      <w:r>
        <w:rPr>
          <w:rFonts w:ascii="Times New Roman" w:hAnsi="Times New Roman"/>
          <w:b/>
          <w:color w:val="000000"/>
          <w:spacing w:val="1"/>
          <w:sz w:val="24"/>
          <w:szCs w:val="24"/>
          <w:lang w:val="ro-RO"/>
        </w:rPr>
        <w:t>nr. / /</w:t>
      </w:r>
    </w:p>
    <w:p w14:paraId="1DEA5E6E">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Data numirii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funcția </w:t>
      </w:r>
      <w:r>
        <w:rPr>
          <w:rFonts w:ascii="Times New Roman" w:hAnsi="Times New Roman"/>
          <w:b/>
          <w:color w:val="000000"/>
          <w:spacing w:val="-2"/>
          <w:sz w:val="24"/>
          <w:szCs w:val="24"/>
          <w:lang w:val="ro-RO"/>
        </w:rPr>
        <w:t xml:space="preserve">de </w:t>
      </w:r>
      <w:r>
        <w:rPr>
          <w:rFonts w:ascii="Times New Roman" w:hAnsi="Times New Roman"/>
          <w:b/>
          <w:color w:val="000000"/>
          <w:sz w:val="24"/>
          <w:szCs w:val="24"/>
          <w:lang w:val="ro-RO"/>
        </w:rPr>
        <w:t xml:space="preserve">conducere: </w:t>
      </w:r>
    </w:p>
    <w:p w14:paraId="43356E17">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funcție:</w:t>
      </w:r>
    </w:p>
    <w:p w14:paraId="73CD30CF">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Titular în unitatea de învățământ: </w:t>
      </w:r>
    </w:p>
    <w:p w14:paraId="21D667D7">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Date de contact: tel, email: </w:t>
      </w:r>
    </w:p>
    <w:p w14:paraId="395A79A6">
      <w:pPr>
        <w:widowControl w:val="0"/>
        <w:autoSpaceDE w:val="0"/>
        <w:autoSpaceDN w:val="0"/>
        <w:spacing w:after="0"/>
        <w:rPr>
          <w:rFonts w:ascii="Times New Roman" w:hAnsi="Times New Roman"/>
          <w:b/>
          <w:color w:val="000000"/>
          <w:sz w:val="24"/>
          <w:szCs w:val="24"/>
          <w:lang w:val="ro-RO"/>
        </w:rPr>
      </w:pPr>
    </w:p>
    <w:p w14:paraId="5EF9A746">
      <w:pPr>
        <w:spacing w:after="0"/>
        <w:ind w:left="7"/>
        <w:rPr>
          <w:rFonts w:ascii="Times New Roman" w:hAnsi="Times New Roman"/>
          <w:b/>
          <w:sz w:val="24"/>
          <w:szCs w:val="24"/>
          <w:lang w:val="ro-RO"/>
        </w:rPr>
      </w:pPr>
      <w:r>
        <w:rPr>
          <w:rFonts w:ascii="Times New Roman" w:hAnsi="Times New Roman"/>
          <w:b/>
          <w:sz w:val="24"/>
          <w:szCs w:val="24"/>
          <w:lang w:val="ro-RO"/>
        </w:rPr>
        <w:t>Integrarea în structura organizatorică</w:t>
      </w:r>
    </w:p>
    <w:p w14:paraId="2A931DB2">
      <w:pPr>
        <w:spacing w:after="0"/>
        <w:ind w:left="7"/>
        <w:rPr>
          <w:rFonts w:ascii="Times New Roman" w:hAnsi="Times New Roman"/>
          <w:b/>
          <w:sz w:val="24"/>
          <w:szCs w:val="24"/>
          <w:lang w:val="ro-RO"/>
        </w:rPr>
      </w:pPr>
      <w:r>
        <w:rPr>
          <w:rFonts w:ascii="Times New Roman" w:hAnsi="Times New Roman"/>
          <w:b/>
          <w:sz w:val="24"/>
          <w:szCs w:val="24"/>
          <w:lang w:val="ro-RO"/>
        </w:rPr>
        <w:t xml:space="preserve">Postul imediat superior: </w:t>
      </w:r>
      <w:r>
        <w:rPr>
          <w:rFonts w:ascii="Times New Roman" w:hAnsi="Times New Roman"/>
          <w:sz w:val="24"/>
          <w:szCs w:val="24"/>
          <w:lang w:val="ro-RO"/>
        </w:rPr>
        <w:t>inspector școlar general</w:t>
      </w:r>
    </w:p>
    <w:p w14:paraId="68E6F367">
      <w:pPr>
        <w:spacing w:after="0"/>
        <w:ind w:left="7"/>
        <w:jc w:val="both"/>
        <w:rPr>
          <w:rFonts w:ascii="Times New Roman" w:hAnsi="Times New Roman"/>
          <w:sz w:val="24"/>
          <w:szCs w:val="24"/>
          <w:lang w:val="ro-RO"/>
        </w:rPr>
      </w:pPr>
      <w:r>
        <w:rPr>
          <w:rFonts w:ascii="Times New Roman" w:hAnsi="Times New Roman"/>
          <w:b/>
          <w:sz w:val="24"/>
          <w:szCs w:val="24"/>
          <w:lang w:val="ro-RO"/>
        </w:rPr>
        <w:t xml:space="preserve">Subordonări: </w:t>
      </w:r>
      <w:r>
        <w:rPr>
          <w:rFonts w:ascii="Times New Roman" w:hAnsi="Times New Roman"/>
          <w:sz w:val="24"/>
          <w:szCs w:val="24"/>
          <w:lang w:val="ro-RO"/>
        </w:rPr>
        <w:t>personalul didactic de predare, didactic auxiliar și administrativ din unitatea de învățământ</w:t>
      </w:r>
    </w:p>
    <w:p w14:paraId="7F14AA07">
      <w:pPr>
        <w:spacing w:after="0"/>
        <w:ind w:left="7"/>
        <w:jc w:val="both"/>
        <w:rPr>
          <w:rFonts w:ascii="Times New Roman" w:hAnsi="Times New Roman"/>
          <w:sz w:val="24"/>
          <w:szCs w:val="24"/>
          <w:lang w:val="ro-RO"/>
        </w:rPr>
      </w:pPr>
    </w:p>
    <w:p w14:paraId="56CBD929">
      <w:pPr>
        <w:spacing w:after="0"/>
        <w:ind w:left="7"/>
        <w:jc w:val="both"/>
        <w:rPr>
          <w:rFonts w:ascii="Times New Roman" w:hAnsi="Times New Roman"/>
          <w:b/>
          <w:sz w:val="24"/>
          <w:szCs w:val="24"/>
          <w:lang w:val="ro-RO"/>
        </w:rPr>
      </w:pPr>
      <w:r>
        <w:rPr>
          <w:rFonts w:ascii="Times New Roman" w:hAnsi="Times New Roman"/>
          <w:b/>
          <w:sz w:val="24"/>
          <w:szCs w:val="24"/>
          <w:lang w:val="ro-RO"/>
        </w:rPr>
        <w:t>Relații de muncă</w:t>
      </w:r>
    </w:p>
    <w:p w14:paraId="6556D53B">
      <w:pPr>
        <w:spacing w:after="0"/>
        <w:ind w:left="7"/>
        <w:jc w:val="both"/>
        <w:rPr>
          <w:rFonts w:ascii="Times New Roman" w:hAnsi="Times New Roman"/>
          <w:sz w:val="24"/>
          <w:szCs w:val="24"/>
          <w:lang w:val="ro-RO"/>
        </w:rPr>
      </w:pPr>
      <w:r>
        <w:rPr>
          <w:rFonts w:ascii="Times New Roman" w:hAnsi="Times New Roman"/>
          <w:b/>
          <w:sz w:val="24"/>
          <w:szCs w:val="24"/>
          <w:lang w:val="ro-RO"/>
        </w:rPr>
        <w:t>Ierarhice:</w:t>
      </w:r>
      <w:r>
        <w:rPr>
          <w:rFonts w:ascii="Times New Roman" w:hAnsi="Times New Roman"/>
          <w:sz w:val="24"/>
          <w:szCs w:val="24"/>
          <w:lang w:val="ro-RO"/>
        </w:rPr>
        <w:t xml:space="preserve"> inspector școlar general, inspector școlar general adjunct</w:t>
      </w:r>
    </w:p>
    <w:p w14:paraId="4F3F2262">
      <w:pPr>
        <w:spacing w:after="0"/>
        <w:ind w:left="7"/>
        <w:jc w:val="both"/>
        <w:rPr>
          <w:rFonts w:ascii="Times New Roman" w:hAnsi="Times New Roman"/>
          <w:sz w:val="24"/>
          <w:szCs w:val="24"/>
          <w:lang w:val="ro-RO"/>
        </w:rPr>
      </w:pPr>
      <w:r>
        <w:rPr>
          <w:rFonts w:ascii="Times New Roman" w:hAnsi="Times New Roman"/>
          <w:b/>
          <w:sz w:val="24"/>
          <w:szCs w:val="24"/>
          <w:lang w:val="ro-RO"/>
        </w:rPr>
        <w:t>Funcționale:</w:t>
      </w:r>
      <w:r>
        <w:rPr>
          <w:rFonts w:ascii="Times New Roman" w:hAnsi="Times New Roman"/>
          <w:sz w:val="24"/>
          <w:szCs w:val="24"/>
          <w:lang w:val="ro-RO"/>
        </w:rPr>
        <w:t xml:space="preserve"> inspectori școlari, directori/directori adjuncți ai altor unități de învățământ, autorități ale administrației publice locale/județene</w:t>
      </w:r>
    </w:p>
    <w:p w14:paraId="4416DD4C">
      <w:pPr>
        <w:spacing w:after="0"/>
        <w:ind w:left="7"/>
        <w:jc w:val="both"/>
        <w:rPr>
          <w:rFonts w:ascii="Times New Roman" w:hAnsi="Times New Roman"/>
          <w:sz w:val="24"/>
          <w:szCs w:val="24"/>
          <w:lang w:val="ro-RO"/>
        </w:rPr>
      </w:pPr>
      <w:r>
        <w:rPr>
          <w:rFonts w:ascii="Times New Roman" w:hAnsi="Times New Roman"/>
          <w:b/>
          <w:sz w:val="24"/>
          <w:szCs w:val="24"/>
          <w:lang w:val="ro-RO"/>
        </w:rPr>
        <w:t>De colaborare:</w:t>
      </w:r>
      <w:r>
        <w:rPr>
          <w:rFonts w:ascii="Times New Roman" w:hAnsi="Times New Roman"/>
          <w:sz w:val="24"/>
          <w:szCs w:val="24"/>
          <w:lang w:val="ro-RO"/>
        </w:rPr>
        <w:t xml:space="preserve"> cu alți furnizori de educație și de formare, structuri consultative din învățământ, organizații sindicale, organizații neguvernamentale</w:t>
      </w:r>
    </w:p>
    <w:p w14:paraId="3C348254">
      <w:pPr>
        <w:spacing w:after="0"/>
        <w:ind w:left="7"/>
        <w:jc w:val="both"/>
        <w:rPr>
          <w:rFonts w:ascii="Times New Roman" w:hAnsi="Times New Roman"/>
          <w:sz w:val="24"/>
          <w:szCs w:val="24"/>
          <w:lang w:val="ro-RO"/>
        </w:rPr>
      </w:pPr>
      <w:r>
        <w:rPr>
          <w:rFonts w:ascii="Times New Roman" w:hAnsi="Times New Roman"/>
          <w:b/>
          <w:sz w:val="24"/>
          <w:szCs w:val="24"/>
          <w:lang w:val="ro-RO"/>
        </w:rPr>
        <w:t>De reprezentare:</w:t>
      </w:r>
      <w:r>
        <w:rPr>
          <w:rFonts w:ascii="Times New Roman" w:hAnsi="Times New Roman"/>
          <w:sz w:val="24"/>
          <w:szCs w:val="24"/>
          <w:lang w:val="ro-RO"/>
        </w:rPr>
        <w:t xml:space="preserve"> reprezentarea oficială a unității de învățământ </w:t>
      </w:r>
    </w:p>
    <w:p w14:paraId="4578A290">
      <w:pPr>
        <w:spacing w:after="0"/>
        <w:ind w:left="7"/>
        <w:jc w:val="both"/>
        <w:rPr>
          <w:rFonts w:ascii="Times New Roman" w:hAnsi="Times New Roman"/>
          <w:sz w:val="24"/>
          <w:szCs w:val="24"/>
          <w:lang w:val="ro-RO"/>
        </w:rPr>
      </w:pPr>
    </w:p>
    <w:p w14:paraId="4001442E">
      <w:pPr>
        <w:spacing w:after="0"/>
        <w:ind w:left="7"/>
        <w:jc w:val="both"/>
        <w:rPr>
          <w:rFonts w:ascii="Times New Roman" w:hAnsi="Times New Roman"/>
          <w:sz w:val="24"/>
          <w:szCs w:val="24"/>
          <w:lang w:val="ro-RO"/>
        </w:rPr>
      </w:pPr>
    </w:p>
    <w:p w14:paraId="0BA178B3">
      <w:pPr>
        <w:spacing w:after="0"/>
        <w:ind w:left="7"/>
        <w:jc w:val="both"/>
        <w:rPr>
          <w:rFonts w:ascii="Times New Roman" w:hAnsi="Times New Roman"/>
          <w:sz w:val="24"/>
          <w:szCs w:val="24"/>
          <w:lang w:val="ro-RO"/>
        </w:rPr>
      </w:pPr>
    </w:p>
    <w:p w14:paraId="4CA0124A">
      <w:pPr>
        <w:spacing w:after="0"/>
        <w:ind w:left="7"/>
        <w:jc w:val="both"/>
        <w:rPr>
          <w:rFonts w:ascii="Times New Roman" w:hAnsi="Times New Roman"/>
          <w:sz w:val="24"/>
          <w:szCs w:val="24"/>
          <w:lang w:val="ro-RO"/>
        </w:rPr>
      </w:pPr>
    </w:p>
    <w:p w14:paraId="33EA819E">
      <w:pPr>
        <w:ind w:left="7"/>
        <w:jc w:val="both"/>
        <w:rPr>
          <w:rFonts w:ascii="Times New Roman" w:hAnsi="Times New Roman"/>
          <w:b/>
          <w:sz w:val="24"/>
          <w:szCs w:val="24"/>
          <w:lang w:val="ro-RO"/>
        </w:rPr>
      </w:pPr>
      <w:r>
        <w:rPr>
          <w:rFonts w:ascii="Times New Roman" w:hAnsi="Times New Roman"/>
          <w:b/>
          <w:sz w:val="24"/>
          <w:szCs w:val="24"/>
          <w:lang w:val="ro-RO"/>
        </w:rPr>
        <w:t>Atribuțiile directorului se raportează la:</w:t>
      </w:r>
    </w:p>
    <w:p w14:paraId="467B50FB">
      <w:pPr>
        <w:spacing w:after="0"/>
        <w:rPr>
          <w:rFonts w:ascii="Times New Roman" w:hAnsi="Times New Roman"/>
          <w:sz w:val="24"/>
          <w:szCs w:val="24"/>
          <w:lang w:val="ro-RO"/>
        </w:rPr>
      </w:pPr>
      <w:r>
        <w:rPr>
          <w:rFonts w:ascii="Times New Roman" w:hAnsi="Times New Roman"/>
          <w:sz w:val="24"/>
          <w:szCs w:val="24"/>
          <w:lang w:val="ro-RO"/>
        </w:rPr>
        <w:t>— prevederile Legii învățământului preuniversitar nr. 198/2023, cu modificările și completările ulterioare;</w:t>
      </w:r>
    </w:p>
    <w:p w14:paraId="03DE8B13">
      <w:pPr>
        <w:spacing w:after="0"/>
        <w:rPr>
          <w:rFonts w:ascii="Times New Roman" w:hAnsi="Times New Roman"/>
          <w:sz w:val="24"/>
          <w:szCs w:val="24"/>
          <w:lang w:val="ro-RO"/>
        </w:rPr>
      </w:pPr>
      <w:r>
        <w:rPr>
          <w:rFonts w:ascii="Times New Roman" w:hAnsi="Times New Roman"/>
          <w:sz w:val="24"/>
          <w:szCs w:val="24"/>
          <w:lang w:val="ro-RO"/>
        </w:rPr>
        <w:t>—prevederile Regulamentului de organizare și funcționare a unităților de învățământ preuniversitar, aprobat prin ordin de ministru;</w:t>
      </w:r>
    </w:p>
    <w:p w14:paraId="0B89FBDF">
      <w:pPr>
        <w:spacing w:after="0"/>
        <w:rPr>
          <w:rFonts w:ascii="Times New Roman" w:hAnsi="Times New Roman"/>
          <w:sz w:val="24"/>
          <w:szCs w:val="24"/>
          <w:lang w:val="ro-RO"/>
        </w:rPr>
      </w:pPr>
      <w:r>
        <w:rPr>
          <w:rFonts w:ascii="Times New Roman" w:hAnsi="Times New Roman"/>
          <w:sz w:val="24"/>
          <w:szCs w:val="24"/>
          <w:lang w:val="ro-RO"/>
        </w:rPr>
        <w:t>— prevederile legislației și actelor normative subsecvente Legii învățământului preuniversitar nr. 198/2023, cu modificările și completările ulterioare;</w:t>
      </w:r>
    </w:p>
    <w:p w14:paraId="479054AE">
      <w:pPr>
        <w:pStyle w:val="38"/>
        <w:jc w:val="both"/>
        <w:rPr>
          <w:rFonts w:cs="Times New Roman"/>
          <w:lang w:val="ro-RO"/>
        </w:rPr>
      </w:pPr>
      <w:r>
        <w:rPr>
          <w:rFonts w:cs="Times New Roman"/>
          <w:color w:val="000000"/>
          <w:lang w:val="ro-RO"/>
        </w:rPr>
        <w:t>—</w:t>
      </w:r>
      <w:r>
        <w:rPr>
          <w:rFonts w:cs="Times New Roman"/>
          <w:lang w:val="ro-RO"/>
        </w:rPr>
        <w:t xml:space="preserve"> ordinele, instrucțiunile și precizările emise de Ministerul Educației și Cercetării;</w:t>
      </w:r>
    </w:p>
    <w:p w14:paraId="070D79AC">
      <w:pPr>
        <w:spacing w:after="0"/>
        <w:rPr>
          <w:rFonts w:ascii="Times New Roman" w:hAnsi="Times New Roman"/>
          <w:sz w:val="24"/>
          <w:szCs w:val="24"/>
          <w:lang w:val="ro-RO"/>
        </w:rPr>
      </w:pPr>
      <w:r>
        <w:rPr>
          <w:rFonts w:ascii="Times New Roman" w:hAnsi="Times New Roman"/>
          <w:sz w:val="24"/>
          <w:szCs w:val="24"/>
          <w:lang w:val="ro-RO"/>
        </w:rPr>
        <w:t>— deciziile emise de inspectorul școlar general;</w:t>
      </w:r>
    </w:p>
    <w:p w14:paraId="2B016286">
      <w:pPr>
        <w:spacing w:after="0"/>
        <w:rPr>
          <w:rFonts w:ascii="Times New Roman" w:hAnsi="Times New Roman"/>
          <w:sz w:val="24"/>
          <w:szCs w:val="24"/>
          <w:lang w:val="ro-RO"/>
        </w:rPr>
      </w:pPr>
      <w:r>
        <w:rPr>
          <w:rFonts w:ascii="Times New Roman" w:hAnsi="Times New Roman"/>
          <w:sz w:val="24"/>
          <w:szCs w:val="24"/>
          <w:lang w:val="ro-RO"/>
        </w:rPr>
        <w:t>— hotărârile consiliului de administrație al unității de învățământ.</w:t>
      </w:r>
    </w:p>
    <w:p w14:paraId="6F2D7A81">
      <w:pPr>
        <w:spacing w:after="0"/>
        <w:rPr>
          <w:rFonts w:ascii="Times New Roman" w:hAnsi="Times New Roman"/>
          <w:sz w:val="24"/>
          <w:szCs w:val="24"/>
          <w:lang w:val="ro-RO"/>
        </w:rPr>
      </w:pPr>
    </w:p>
    <w:p w14:paraId="3EC1A02C">
      <w:pPr>
        <w:ind w:left="7"/>
        <w:jc w:val="both"/>
        <w:rPr>
          <w:rFonts w:ascii="Times New Roman" w:hAnsi="Times New Roman"/>
          <w:b/>
          <w:sz w:val="24"/>
          <w:szCs w:val="24"/>
          <w:lang w:val="ro-RO"/>
        </w:rPr>
      </w:pPr>
      <w:r>
        <w:rPr>
          <w:rFonts w:ascii="Times New Roman" w:hAnsi="Times New Roman"/>
          <w:b/>
          <w:sz w:val="24"/>
          <w:szCs w:val="24"/>
          <w:lang w:val="ro-RO"/>
        </w:rPr>
        <w:t>I. Atribuții generale</w:t>
      </w:r>
    </w:p>
    <w:p w14:paraId="252A94D3">
      <w:pPr>
        <w:numPr>
          <w:ilvl w:val="0"/>
          <w:numId w:val="1"/>
        </w:numPr>
        <w:tabs>
          <w:tab w:val="left" w:pos="26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Realizează conducerea executivă a unității de învățământ , în conformitate cu atribuțiile conferite de legislația în vigoare, cu hotărârile consiliului de administrație al unității de învățământ, precum și cu alte reglementări legale.</w:t>
      </w:r>
    </w:p>
    <w:p w14:paraId="6D9C1826">
      <w:pPr>
        <w:numPr>
          <w:ilvl w:val="0"/>
          <w:numId w:val="1"/>
        </w:numPr>
        <w:tabs>
          <w:tab w:val="left" w:pos="247"/>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14:paraId="18575E2C">
      <w:pPr>
        <w:numPr>
          <w:ilvl w:val="0"/>
          <w:numId w:val="1"/>
        </w:numPr>
        <w:tabs>
          <w:tab w:val="left" w:pos="264"/>
        </w:tabs>
        <w:spacing w:after="0" w:line="240" w:lineRule="auto"/>
        <w:ind w:left="7" w:hanging="7"/>
        <w:jc w:val="both"/>
        <w:rPr>
          <w:rFonts w:ascii="Times New Roman" w:hAnsi="Times New Roman" w:eastAsia="Times New Roman"/>
          <w:sz w:val="24"/>
          <w:szCs w:val="24"/>
          <w:lang w:val="ro-RO"/>
        </w:rPr>
      </w:pPr>
      <w:r>
        <w:rPr>
          <w:rFonts w:ascii="Times New Roman" w:hAnsi="Times New Roman"/>
          <w:sz w:val="24"/>
          <w:szCs w:val="24"/>
          <w:lang w:val="ro-RO"/>
        </w:rPr>
        <w:t>Răspunde de întreaga activitate financiar-contabilă a unității de învățământ  în calitatea sa de ordonator de credite și coordonează direct compartimentul financiar-contabil.</w:t>
      </w:r>
    </w:p>
    <w:p w14:paraId="6AC474E8">
      <w:pPr>
        <w:numPr>
          <w:ilvl w:val="0"/>
          <w:numId w:val="2"/>
        </w:numPr>
        <w:tabs>
          <w:tab w:val="left" w:pos="302"/>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Realizează activitatea de îndrumare și control asupra activității întregului personal salariat al unității de învățământ. Colaborează cu consilierul şcolar, logopedul şi personalul cabinetului medical/ stomatologic.</w:t>
      </w:r>
    </w:p>
    <w:p w14:paraId="0DC5C798">
      <w:pPr>
        <w:numPr>
          <w:ilvl w:val="0"/>
          <w:numId w:val="2"/>
        </w:numPr>
        <w:tabs>
          <w:tab w:val="left" w:pos="285"/>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Este președintele consiliului profesoral și al consiliului de administrație, în fața cărora prezintă rapoarte anuale.</w:t>
      </w:r>
    </w:p>
    <w:p w14:paraId="7786C77D">
      <w:pPr>
        <w:rPr>
          <w:rFonts w:ascii="Times New Roman" w:hAnsi="Times New Roman"/>
          <w:sz w:val="24"/>
          <w:szCs w:val="24"/>
          <w:lang w:val="ro-RO"/>
        </w:rPr>
      </w:pPr>
    </w:p>
    <w:p w14:paraId="08A00C3C">
      <w:pPr>
        <w:ind w:left="7"/>
        <w:rPr>
          <w:rFonts w:ascii="Times New Roman" w:hAnsi="Times New Roman"/>
          <w:b/>
          <w:sz w:val="24"/>
          <w:szCs w:val="24"/>
          <w:lang w:val="ro-RO"/>
        </w:rPr>
      </w:pPr>
      <w:r>
        <w:rPr>
          <w:rFonts w:ascii="Times New Roman" w:hAnsi="Times New Roman"/>
          <w:b/>
          <w:sz w:val="24"/>
          <w:szCs w:val="24"/>
          <w:lang w:val="ro-RO"/>
        </w:rPr>
        <w:t>II. Atribuții specifice</w:t>
      </w:r>
    </w:p>
    <w:p w14:paraId="7F021D27">
      <w:pPr>
        <w:numPr>
          <w:ilvl w:val="0"/>
          <w:numId w:val="3"/>
        </w:numPr>
        <w:tabs>
          <w:tab w:val="left" w:pos="247"/>
        </w:tabs>
        <w:spacing w:after="0" w:line="240" w:lineRule="auto"/>
        <w:ind w:left="247" w:hanging="247"/>
        <w:rPr>
          <w:rFonts w:ascii="Times New Roman" w:hAnsi="Times New Roman"/>
          <w:b/>
          <w:sz w:val="24"/>
          <w:szCs w:val="24"/>
          <w:lang w:val="ro-RO"/>
        </w:rPr>
      </w:pPr>
      <w:r>
        <w:rPr>
          <w:rFonts w:ascii="Times New Roman" w:hAnsi="Times New Roman"/>
          <w:b/>
          <w:sz w:val="24"/>
          <w:szCs w:val="24"/>
          <w:lang w:val="ro-RO"/>
        </w:rPr>
        <w:t>În exercitarea funcției de conducere executivă:</w:t>
      </w:r>
    </w:p>
    <w:p w14:paraId="0F256CB0">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este reprezentantul legal al unității de învățământ , având obligația reprezentării și apărării drepturilor și intereselor legitime ale acestora în raporturile cu autoritățile publice, instituțiile de orice natură, precum și cu orice persoană juridică sau fizică, română sau străină;</w:t>
      </w:r>
    </w:p>
    <w:p w14:paraId="29C757CF">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realizează conducerea executivă a unității de învățământ și organizează întreaga activitate educațională;</w:t>
      </w:r>
    </w:p>
    <w:p w14:paraId="5F8058B2">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organizează și este direct responsabil de aplicarea legislației în vigoare, la nivelul unității de învățământ ;</w:t>
      </w:r>
    </w:p>
    <w:p w14:paraId="59D77CDA">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managementul strategic al unității de învățământ , în colaborare cu autoritățile administrației publice locale, după consultarea partenerilor sociali și a reprezentanților părinților;</w:t>
      </w:r>
    </w:p>
    <w:p w14:paraId="3ADDAF62">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managementul operațional al unității de învățământ și este direct responsabil de calitatea educației furnizate de unitatea de învățământ ;</w:t>
      </w:r>
    </w:p>
    <w:p w14:paraId="659E0390">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corelarea obiectivelor specifice unității de învățământ cu cele stabilite la nivel național și local;</w:t>
      </w:r>
    </w:p>
    <w:p w14:paraId="79FB97A8">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coordonează procesul de obținere a autorizațiilor și avizelor legale necesare funcționării grădiniţei; h) asigură aplicarea și respectarea normelor de sănătate și securitate în muncă;</w:t>
      </w:r>
    </w:p>
    <w:p w14:paraId="43F5FAE5">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semnează parteneriate cu agenții economici pentru derularea activităţilor extracurriculare şi extraşcolare;</w:t>
      </w:r>
    </w:p>
    <w:p w14:paraId="4EA70E90">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 </w:t>
      </w:r>
    </w:p>
    <w:p w14:paraId="79E68F50">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coordonează elaborarea proiectului de dezvoltare instituțională a </w:t>
      </w:r>
      <w:r>
        <w:rPr>
          <w:rFonts w:hint="default" w:ascii="Times New Roman" w:hAnsi="Times New Roman"/>
          <w:sz w:val="24"/>
          <w:szCs w:val="24"/>
          <w:lang w:val="ro-RO"/>
        </w:rPr>
        <w:t>unității de învățământ</w:t>
      </w:r>
      <w:bookmarkStart w:id="0" w:name="_GoBack"/>
      <w:bookmarkEnd w:id="0"/>
      <w:r>
        <w:rPr>
          <w:rFonts w:ascii="Times New Roman" w:hAnsi="Times New Roman"/>
          <w:sz w:val="24"/>
          <w:szCs w:val="24"/>
        </w:rPr>
        <w:t>, prin care se stabilește politica educațională a acesteia;</w:t>
      </w:r>
    </w:p>
    <w:p w14:paraId="1D14EA93">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lansează proiecte de parteneriat cu unități de învățământ similare din Uniunea Europeană sau din alte zone;</w:t>
      </w:r>
    </w:p>
    <w:p w14:paraId="4677BC47">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solicită consiliului reprezentativ al părinților și, după caz, consiliului local, desemnarea reprezentanților lor în consiliul de administrație al unității de învățământ;</w:t>
      </w:r>
    </w:p>
    <w:p w14:paraId="7A7ED671">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numește, prin decizie, compenența comisiilor pentru examenele de corigențe, amânări sau diferențe;</w:t>
      </w:r>
    </w:p>
    <w:p w14:paraId="6EF5A768">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coordonează activitățile de pregătire organizate de cadrele didactice pentru copiii care participă la olimpiade, concursuri, competiții sportive și festivaluri naționale și internaționale;</w:t>
      </w:r>
    </w:p>
    <w:p w14:paraId="61243272">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în exercitarea atribuțiilor și a responsabilităților stabilite, directorul emite decizii și note de serviciu;</w:t>
      </w:r>
    </w:p>
    <w:p w14:paraId="44B02E62">
      <w:pPr>
        <w:pStyle w:val="23"/>
        <w:numPr>
          <w:ilvl w:val="0"/>
          <w:numId w:val="4"/>
        </w:numPr>
        <w:spacing w:after="0"/>
        <w:ind w:left="357" w:hanging="357"/>
        <w:jc w:val="both"/>
        <w:rPr>
          <w:rFonts w:ascii="Times New Roman" w:hAnsi="Times New Roman" w:eastAsia="Garamond"/>
          <w:sz w:val="24"/>
          <w:szCs w:val="24"/>
        </w:rPr>
      </w:pPr>
      <w:r>
        <w:rPr>
          <w:rFonts w:ascii="Times New Roman" w:hAnsi="Times New Roman" w:eastAsia="Garamond"/>
          <w:sz w:val="24"/>
          <w:szCs w:val="24"/>
          <w:lang w:bidi="ro-RO"/>
        </w:rPr>
        <w:t>a</w:t>
      </w:r>
      <w:r>
        <w:rPr>
          <w:rFonts w:ascii="Times New Roman" w:hAnsi="Times New Roman" w:eastAsia="Garamond"/>
          <w:sz w:val="24"/>
          <w:szCs w:val="24"/>
        </w:rPr>
        <w:t>sigură accesul cadrelor didactice la platformele educaționale;</w:t>
      </w:r>
    </w:p>
    <w:p w14:paraId="35F03FD1">
      <w:pPr>
        <w:pStyle w:val="38"/>
        <w:widowControl w:val="0"/>
        <w:numPr>
          <w:ilvl w:val="0"/>
          <w:numId w:val="4"/>
        </w:numPr>
        <w:autoSpaceDE w:val="0"/>
        <w:ind w:left="357" w:hanging="357"/>
        <w:jc w:val="both"/>
        <w:rPr>
          <w:rFonts w:eastAsia="Garamond" w:cs="Times New Roman"/>
          <w:lang w:val="ro-RO"/>
        </w:rPr>
      </w:pPr>
      <w:r>
        <w:rPr>
          <w:rFonts w:eastAsia="Garamond" w:cs="Times New Roman"/>
          <w:color w:val="000000"/>
          <w:lang w:val="ro-RO" w:bidi="ro-RO"/>
        </w:rPr>
        <w:t>a</w:t>
      </w:r>
      <w:r>
        <w:rPr>
          <w:rFonts w:eastAsia="Garamond" w:cs="Times New Roman"/>
          <w:color w:val="000000"/>
          <w:lang w:val="ro-RO"/>
        </w:rPr>
        <w:t>nalizează nevoile de dezvoltare a competențelor digitale ale cadrelor didactice, desemnându-le pe cele care trebuie să participe la programe de formare.</w:t>
      </w:r>
    </w:p>
    <w:p w14:paraId="5CCD0313">
      <w:pPr>
        <w:ind w:left="7"/>
        <w:jc w:val="both"/>
        <w:rPr>
          <w:rFonts w:ascii="Times New Roman" w:hAnsi="Times New Roman"/>
          <w:sz w:val="24"/>
          <w:szCs w:val="24"/>
          <w:lang w:val="ro-RO"/>
        </w:rPr>
      </w:pPr>
    </w:p>
    <w:p w14:paraId="3FFBDB0D">
      <w:pPr>
        <w:numPr>
          <w:ilvl w:val="0"/>
          <w:numId w:val="3"/>
        </w:numPr>
        <w:tabs>
          <w:tab w:val="left" w:pos="247"/>
        </w:tabs>
        <w:spacing w:after="0" w:line="240" w:lineRule="auto"/>
        <w:ind w:left="247" w:hanging="247"/>
        <w:jc w:val="both"/>
        <w:rPr>
          <w:rFonts w:ascii="Times New Roman" w:hAnsi="Times New Roman"/>
          <w:b/>
          <w:sz w:val="24"/>
          <w:szCs w:val="24"/>
          <w:lang w:val="ro-RO"/>
        </w:rPr>
      </w:pPr>
      <w:r>
        <w:rPr>
          <w:rFonts w:ascii="Times New Roman" w:hAnsi="Times New Roman"/>
          <w:b/>
          <w:sz w:val="24"/>
          <w:szCs w:val="24"/>
          <w:lang w:val="ro-RO"/>
        </w:rPr>
        <w:t>În exercitarea funcției de angajator:</w:t>
      </w:r>
    </w:p>
    <w:p w14:paraId="3C0F51D2">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angajează personalul din unitate prin încheierea contractului individual de muncă;</w:t>
      </w:r>
    </w:p>
    <w:p w14:paraId="32C2C5CC">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întocmește, conform legii, fișele posturilor pentru personalul din subordine; răspunde de selecția, angajarea, evaluarea periodică, formarea, motivarea și încetarea raporturilor de muncă ale personalului din unitate;</w:t>
      </w:r>
    </w:p>
    <w:p w14:paraId="752AFB26">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răspunde de evaluarea periodică, formarea, motivarea personalului din unitate;</w:t>
      </w:r>
    </w:p>
    <w:p w14:paraId="0CF1CB0E">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propune consiliului de administrație vacantarea posturilor, organizarea concursurilor pe post și angajarea personalului;</w:t>
      </w:r>
    </w:p>
    <w:p w14:paraId="3307A171">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w:t>
      </w:r>
    </w:p>
    <w:p w14:paraId="46C93F39">
      <w:pPr>
        <w:pStyle w:val="23"/>
        <w:numPr>
          <w:ilvl w:val="0"/>
          <w:numId w:val="5"/>
        </w:numPr>
        <w:tabs>
          <w:tab w:val="left" w:pos="247"/>
        </w:tabs>
        <w:ind w:left="357" w:hanging="357"/>
        <w:rPr>
          <w:rFonts w:ascii="Times New Roman" w:hAnsi="Times New Roman"/>
          <w:sz w:val="24"/>
          <w:szCs w:val="24"/>
        </w:rPr>
      </w:pPr>
      <w:r>
        <w:rPr>
          <w:rFonts w:ascii="Times New Roman" w:hAnsi="Times New Roman"/>
          <w:sz w:val="24"/>
          <w:szCs w:val="24"/>
        </w:rPr>
        <w:t>coordonează organizarea și desfășurarea concursului de ocupare a posturilor nedidactice;</w:t>
      </w:r>
    </w:p>
    <w:p w14:paraId="318B3903">
      <w:pPr>
        <w:pStyle w:val="23"/>
        <w:numPr>
          <w:ilvl w:val="0"/>
          <w:numId w:val="5"/>
        </w:numPr>
        <w:tabs>
          <w:tab w:val="left" w:pos="247"/>
        </w:tabs>
        <w:ind w:left="357" w:hanging="357"/>
        <w:rPr>
          <w:rFonts w:ascii="Times New Roman" w:hAnsi="Times New Roman"/>
          <w:sz w:val="24"/>
          <w:szCs w:val="24"/>
        </w:rPr>
      </w:pPr>
      <w:r>
        <w:rPr>
          <w:rFonts w:ascii="Times New Roman" w:hAnsi="Times New Roman"/>
          <w:sz w:val="24"/>
          <w:szCs w:val="24"/>
        </w:rPr>
        <w:t>stabilește atribuțiile Coordonatorului pentru proiecte și programe educative școlare și extrașcolare, în funcție de specificul unității;</w:t>
      </w:r>
    </w:p>
    <w:p w14:paraId="4516F09F">
      <w:pPr>
        <w:pStyle w:val="23"/>
        <w:numPr>
          <w:ilvl w:val="0"/>
          <w:numId w:val="5"/>
        </w:numPr>
        <w:tabs>
          <w:tab w:val="left" w:pos="254"/>
        </w:tabs>
        <w:spacing w:after="0"/>
        <w:ind w:left="357" w:hanging="357"/>
        <w:jc w:val="both"/>
        <w:rPr>
          <w:rFonts w:ascii="Times New Roman" w:hAnsi="Times New Roman"/>
          <w:sz w:val="24"/>
          <w:szCs w:val="24"/>
        </w:rPr>
      </w:pPr>
      <w:r>
        <w:rPr>
          <w:rFonts w:ascii="Times New Roman" w:hAnsi="Times New Roman"/>
          <w:sz w:val="24"/>
          <w:szCs w:val="24"/>
        </w:rPr>
        <w:t>aprobă concediile de odihnă ale personalului didactic de predare, didactic auxiliar și nedidactic, pe baza solicitărilor scrise ale acestora, conform Legii nr. 53/2003 - Codului muncii republicată, cu modificările și completările ulterioare și contractului colectiv de muncă aplicabil;</w:t>
      </w:r>
    </w:p>
    <w:p w14:paraId="1C19D702">
      <w:pPr>
        <w:numPr>
          <w:ilvl w:val="0"/>
          <w:numId w:val="5"/>
        </w:numPr>
        <w:tabs>
          <w:tab w:val="left" w:pos="288"/>
        </w:tabs>
        <w:spacing w:after="0"/>
        <w:ind w:left="357" w:hanging="357"/>
        <w:jc w:val="both"/>
        <w:rPr>
          <w:rFonts w:ascii="Times New Roman" w:hAnsi="Times New Roman"/>
          <w:sz w:val="24"/>
          <w:szCs w:val="24"/>
          <w:lang w:val="ro-RO"/>
        </w:rPr>
      </w:pPr>
      <w:r>
        <w:rPr>
          <w:rFonts w:ascii="Times New Roman" w:hAnsi="Times New Roman"/>
          <w:sz w:val="24"/>
          <w:szCs w:val="24"/>
          <w:lang w:val="ro-RO"/>
        </w:rPr>
        <w:t>aprobă concediu fără plată și zilele libere plătite, conform prevederilor legale și ale contractului colectiv de muncă aplicabil, pentru întreg personalul, în condițiile asigurării suplinirii activității acestora;</w:t>
      </w:r>
    </w:p>
    <w:p w14:paraId="265A3A00">
      <w:pPr>
        <w:numPr>
          <w:ilvl w:val="0"/>
          <w:numId w:val="5"/>
        </w:numPr>
        <w:tabs>
          <w:tab w:val="left" w:pos="192"/>
        </w:tabs>
        <w:spacing w:after="0"/>
        <w:ind w:left="357" w:hanging="357"/>
        <w:jc w:val="both"/>
        <w:rPr>
          <w:rFonts w:ascii="Times New Roman" w:hAnsi="Times New Roman"/>
          <w:sz w:val="24"/>
          <w:szCs w:val="24"/>
          <w:lang w:val="ro-RO"/>
        </w:rPr>
      </w:pPr>
      <w:r>
        <w:rPr>
          <w:rFonts w:ascii="Times New Roman" w:hAnsi="Times New Roman"/>
          <w:sz w:val="24"/>
          <w:szCs w:val="24"/>
          <w:lang w:val="ro-RO"/>
        </w:rPr>
        <w:t>coordonează comisia de salarizare și aprobă trecerea personalului salariat al unității de învățământ, de la o gradație salarială la alta, în condițiile prevăzute de legislația în vigoare;</w:t>
      </w:r>
    </w:p>
    <w:p w14:paraId="6E6FD668">
      <w:pPr>
        <w:numPr>
          <w:ilvl w:val="0"/>
          <w:numId w:val="5"/>
        </w:numPr>
        <w:tabs>
          <w:tab w:val="left" w:pos="211"/>
        </w:tabs>
        <w:spacing w:after="0"/>
        <w:ind w:left="357" w:hanging="357"/>
        <w:jc w:val="both"/>
        <w:rPr>
          <w:rFonts w:ascii="Times New Roman" w:hAnsi="Times New Roman"/>
          <w:sz w:val="24"/>
          <w:szCs w:val="24"/>
          <w:lang w:val="ro-RO"/>
        </w:rPr>
      </w:pPr>
      <w:r>
        <w:rPr>
          <w:rFonts w:ascii="Times New Roman" w:hAnsi="Times New Roman"/>
          <w:sz w:val="24"/>
          <w:szCs w:val="24"/>
          <w:lang w:val="ro-RO"/>
        </w:rPr>
        <w:t>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supune aprobării acestora de către consiliul de administrație;</w:t>
      </w:r>
    </w:p>
    <w:p w14:paraId="53814DC3">
      <w:pPr>
        <w:numPr>
          <w:ilvl w:val="0"/>
          <w:numId w:val="5"/>
        </w:numPr>
        <w:tabs>
          <w:tab w:val="left" w:pos="319"/>
        </w:tabs>
        <w:spacing w:after="0"/>
        <w:ind w:left="357" w:right="20" w:hanging="357"/>
        <w:jc w:val="both"/>
        <w:rPr>
          <w:rFonts w:ascii="Times New Roman" w:hAnsi="Times New Roman"/>
          <w:sz w:val="24"/>
          <w:szCs w:val="24"/>
          <w:lang w:val="ro-RO"/>
        </w:rPr>
      </w:pPr>
      <w:r>
        <w:rPr>
          <w:rFonts w:ascii="Times New Roman" w:hAnsi="Times New Roman"/>
          <w:sz w:val="24"/>
          <w:szCs w:val="24"/>
          <w:lang w:val="ro-RO"/>
        </w:rPr>
        <w:t>monitorizează implementarea planurilor de formare profesională a personalului didactic de predare, didactic-auxiliar și nedidactic.</w:t>
      </w:r>
    </w:p>
    <w:p w14:paraId="229126F4">
      <w:pPr>
        <w:tabs>
          <w:tab w:val="left" w:pos="319"/>
        </w:tabs>
        <w:spacing w:after="0"/>
        <w:ind w:right="20"/>
        <w:jc w:val="both"/>
        <w:rPr>
          <w:rFonts w:ascii="Times New Roman" w:hAnsi="Times New Roman"/>
          <w:sz w:val="24"/>
          <w:szCs w:val="24"/>
          <w:lang w:val="ro-RO"/>
        </w:rPr>
      </w:pPr>
    </w:p>
    <w:p w14:paraId="359034CF">
      <w:pPr>
        <w:ind w:left="7"/>
        <w:rPr>
          <w:rFonts w:ascii="Times New Roman" w:hAnsi="Times New Roman"/>
          <w:b/>
          <w:sz w:val="24"/>
          <w:szCs w:val="24"/>
          <w:lang w:val="ro-RO"/>
        </w:rPr>
      </w:pPr>
      <w:r>
        <w:rPr>
          <w:rFonts w:ascii="Times New Roman" w:hAnsi="Times New Roman"/>
          <w:b/>
          <w:sz w:val="24"/>
          <w:szCs w:val="24"/>
          <w:lang w:val="ro-RO"/>
        </w:rPr>
        <w:t>3. În exercitarea funcției de ordonator de credite:</w:t>
      </w:r>
    </w:p>
    <w:p w14:paraId="7846BEB0">
      <w:pPr>
        <w:numPr>
          <w:ilvl w:val="0"/>
          <w:numId w:val="6"/>
        </w:numPr>
        <w:tabs>
          <w:tab w:val="left" w:pos="249"/>
        </w:tabs>
        <w:spacing w:after="0" w:line="240" w:lineRule="auto"/>
        <w:jc w:val="both"/>
        <w:rPr>
          <w:rFonts w:ascii="Times New Roman" w:hAnsi="Times New Roman"/>
          <w:sz w:val="24"/>
          <w:szCs w:val="24"/>
          <w:lang w:val="ro-RO"/>
        </w:rPr>
      </w:pPr>
      <w:r>
        <w:rPr>
          <w:rFonts w:ascii="Times New Roman" w:hAnsi="Times New Roman"/>
          <w:sz w:val="24"/>
          <w:szCs w:val="24"/>
          <w:lang w:val="ro-RO"/>
        </w:rPr>
        <w:t>propune în consiliul de administrație, spre aprobare, proiectul de buget și raportul de execuție bugetară;</w:t>
      </w:r>
    </w:p>
    <w:p w14:paraId="4D0E6FCE">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încadrarea în bugetul aprobat al unității de învățământ;</w:t>
      </w:r>
    </w:p>
    <w:p w14:paraId="3DE41411">
      <w:pPr>
        <w:numPr>
          <w:ilvl w:val="0"/>
          <w:numId w:val="6"/>
        </w:numPr>
        <w:tabs>
          <w:tab w:val="left" w:pos="227"/>
        </w:tabs>
        <w:spacing w:after="0"/>
        <w:ind w:left="227" w:hanging="227"/>
        <w:jc w:val="both"/>
        <w:rPr>
          <w:rFonts w:ascii="Times New Roman" w:hAnsi="Times New Roman"/>
          <w:sz w:val="24"/>
          <w:szCs w:val="24"/>
          <w:lang w:val="ro-RO"/>
        </w:rPr>
      </w:pPr>
      <w:r>
        <w:rPr>
          <w:rFonts w:ascii="Times New Roman" w:hAnsi="Times New Roman"/>
          <w:sz w:val="24"/>
          <w:szCs w:val="24"/>
          <w:lang w:val="ro-RO"/>
        </w:rPr>
        <w:t>se preocupă de atragerea de resurse extrabugetare, cu respectarea prevederilor legale;</w:t>
      </w:r>
    </w:p>
    <w:p w14:paraId="71E2AF08">
      <w:pPr>
        <w:numPr>
          <w:ilvl w:val="0"/>
          <w:numId w:val="6"/>
        </w:numPr>
        <w:tabs>
          <w:tab w:val="left" w:pos="324"/>
        </w:tabs>
        <w:spacing w:after="0"/>
        <w:ind w:left="7" w:hanging="7"/>
        <w:jc w:val="both"/>
        <w:rPr>
          <w:rFonts w:ascii="Times New Roman" w:hAnsi="Times New Roman"/>
          <w:color w:val="00B0F0"/>
          <w:sz w:val="24"/>
          <w:szCs w:val="24"/>
          <w:lang w:val="ro-RO"/>
        </w:rPr>
      </w:pPr>
      <w:r>
        <w:rPr>
          <w:rFonts w:ascii="Times New Roman" w:hAnsi="Times New Roman"/>
          <w:sz w:val="24"/>
          <w:szCs w:val="24"/>
          <w:lang w:val="ro-RO"/>
        </w:rPr>
        <w:t>răspunde de realizarea, utilizarea, păstrarea, completarea și modernizarea bazei materiale a unității de învățământ;</w:t>
      </w:r>
    </w:p>
    <w:p w14:paraId="2061C476">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urmărește modul de încasare a veniturilor;</w:t>
      </w:r>
    </w:p>
    <w:p w14:paraId="61BAB4C3">
      <w:pPr>
        <w:numPr>
          <w:ilvl w:val="0"/>
          <w:numId w:val="6"/>
        </w:numPr>
        <w:tabs>
          <w:tab w:val="left" w:pos="213"/>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în ceea ce privește necesitatea, oportunitatea și legalitatea angajării și utilizării creditelor bugetare, în limita și cu destinația aprobate prin bugetul propriu;</w:t>
      </w:r>
    </w:p>
    <w:p w14:paraId="52B58B22">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integritatea și buna funcționare a bunurilor aflate în administrare;</w:t>
      </w:r>
    </w:p>
    <w:p w14:paraId="19A77F94">
      <w:pPr>
        <w:numPr>
          <w:ilvl w:val="0"/>
          <w:numId w:val="6"/>
        </w:numPr>
        <w:tabs>
          <w:tab w:val="left" w:pos="30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de organizarea și ținerea la zi a contabilității și prezentarea la termen a bilanțurilor contabile și a conturilor de execuție bugetară.</w:t>
      </w:r>
    </w:p>
    <w:p w14:paraId="49D61DA4">
      <w:pPr>
        <w:tabs>
          <w:tab w:val="left" w:pos="304"/>
        </w:tabs>
        <w:ind w:left="7"/>
        <w:jc w:val="both"/>
        <w:rPr>
          <w:rFonts w:ascii="Times New Roman" w:hAnsi="Times New Roman"/>
          <w:sz w:val="24"/>
          <w:szCs w:val="24"/>
          <w:lang w:val="ro-RO"/>
        </w:rPr>
      </w:pPr>
    </w:p>
    <w:p w14:paraId="363C045B">
      <w:pPr>
        <w:ind w:left="7"/>
        <w:jc w:val="both"/>
        <w:rPr>
          <w:rFonts w:ascii="Times New Roman" w:hAnsi="Times New Roman"/>
          <w:b/>
          <w:sz w:val="24"/>
          <w:szCs w:val="24"/>
          <w:lang w:val="ro-RO"/>
        </w:rPr>
      </w:pPr>
      <w:r>
        <w:rPr>
          <w:rFonts w:ascii="Times New Roman" w:hAnsi="Times New Roman"/>
          <w:b/>
          <w:sz w:val="24"/>
          <w:szCs w:val="24"/>
          <w:lang w:val="ro-RO"/>
        </w:rPr>
        <w:t>4. Directorul unității de învățământ îndeplinește și următoarele atribuții:</w:t>
      </w:r>
    </w:p>
    <w:p w14:paraId="377FE07D">
      <w:pPr>
        <w:numPr>
          <w:ilvl w:val="0"/>
          <w:numId w:val="7"/>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inspectoratului școlar, spre aprobare, proiectul planului de școlarizare, avizat de consiliul de administrație;</w:t>
      </w:r>
    </w:p>
    <w:p w14:paraId="3FD3F58D">
      <w:pPr>
        <w:numPr>
          <w:ilvl w:val="0"/>
          <w:numId w:val="7"/>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activitatea de elaborare a ofertei educaționale a unității de învățământ și o propune spre aprobare consiliului de administrație;</w:t>
      </w:r>
    </w:p>
    <w:p w14:paraId="417FE968">
      <w:pPr>
        <w:numPr>
          <w:ilvl w:val="0"/>
          <w:numId w:val="7"/>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p>
    <w:p w14:paraId="632A03AF">
      <w:pPr>
        <w:numPr>
          <w:ilvl w:val="0"/>
          <w:numId w:val="7"/>
        </w:numPr>
        <w:tabs>
          <w:tab w:val="left" w:pos="280"/>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regulamentul de organizare și funcționare al unității de învățământ;</w:t>
      </w:r>
    </w:p>
    <w:p w14:paraId="5DDC46A9">
      <w:pPr>
        <w:numPr>
          <w:ilvl w:val="0"/>
          <w:numId w:val="7"/>
        </w:numPr>
        <w:tabs>
          <w:tab w:val="left" w:pos="20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componența formațiunilor de studiu în baza hotărârii consiliului de administrație;</w:t>
      </w:r>
    </w:p>
    <w:p w14:paraId="668FA56C">
      <w:pPr>
        <w:numPr>
          <w:ilvl w:val="0"/>
          <w:numId w:val="7"/>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elaborează proiectul de încadrare cu personal didactic de predare, precum și schema de personal didactic auxiliar și administrativ și le supune, spre aprobare, consiliului de administrație;</w:t>
      </w:r>
    </w:p>
    <w:p w14:paraId="2FCA0CE2">
      <w:pPr>
        <w:numPr>
          <w:ilvl w:val="0"/>
          <w:numId w:val="7"/>
        </w:numPr>
        <w:tabs>
          <w:tab w:val="left" w:pos="3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numește, după consultarea consiliului profesoral, în baza hotărârii consiliului de administrație, cadrele didactice la clase, precum și coordonatorul pentru proiecte și programe educative școlare și extrașcolare;</w:t>
      </w:r>
    </w:p>
    <w:p w14:paraId="755CFC1C">
      <w:pPr>
        <w:numPr>
          <w:ilvl w:val="0"/>
          <w:numId w:val="7"/>
        </w:numPr>
        <w:tabs>
          <w:tab w:val="left" w:pos="22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numește, în baza hotărârii consiliului de administrație, coordonatorii structurilor care aparțin de unitatea de învățământ, din rândul cadrelor didactice- de regulă, titulare -care își desfășoară activitatea în structurile respective;</w:t>
      </w:r>
    </w:p>
    <w:p w14:paraId="0B40BF5A">
      <w:pPr>
        <w:numPr>
          <w:ilvl w:val="0"/>
          <w:numId w:val="7"/>
        </w:numPr>
        <w:tabs>
          <w:tab w:val="left" w:pos="22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prin decizie, componența catedrelor și comisiilor din cadrul unității de învățământ, în baza hotărârii consiliului de administrație;</w:t>
      </w:r>
    </w:p>
    <w:p w14:paraId="4DF998DD">
      <w:pPr>
        <w:numPr>
          <w:ilvl w:val="0"/>
          <w:numId w:val="7"/>
        </w:numPr>
        <w:tabs>
          <w:tab w:val="left" w:pos="223"/>
        </w:tabs>
        <w:spacing w:after="0"/>
        <w:ind w:left="360"/>
        <w:jc w:val="both"/>
        <w:rPr>
          <w:rFonts w:ascii="Times New Roman" w:hAnsi="Times New Roman"/>
          <w:sz w:val="24"/>
          <w:szCs w:val="24"/>
          <w:lang w:val="ro-RO"/>
        </w:rPr>
      </w:pPr>
      <w:r>
        <w:rPr>
          <w:rFonts w:ascii="Times New Roman" w:hAnsi="Times New Roman"/>
          <w:sz w:val="24"/>
          <w:szCs w:val="24"/>
          <w:lang w:val="ro-RO"/>
        </w:rPr>
        <w:t>coordonează comisia de întocmire a orarului activităților unității de învățământ și îl propune spre aprobare consiliului de administrație;</w:t>
      </w:r>
    </w:p>
    <w:p w14:paraId="7B6A46D3">
      <w:pPr>
        <w:numPr>
          <w:ilvl w:val="0"/>
          <w:numId w:val="7"/>
        </w:numPr>
        <w:tabs>
          <w:tab w:val="left" w:pos="29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comisia de evaluare a programelor opţionale realizate de cadrele didactice și le propune spre aprobare inspectoratului şcolar;</w:t>
      </w:r>
    </w:p>
    <w:p w14:paraId="372C061D">
      <w:pPr>
        <w:numPr>
          <w:ilvl w:val="0"/>
          <w:numId w:val="7"/>
        </w:numPr>
        <w:tabs>
          <w:tab w:val="left" w:pos="2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graficul serviciului pe  școală al personalului didactic auxiliar şi/sau nedidactic; atribuțiile acestora sunt precizate în regulamentul de organizare și funcționare al unității de învățământ;</w:t>
      </w:r>
    </w:p>
    <w:p w14:paraId="2EF34AF2">
      <w:pPr>
        <w:numPr>
          <w:ilvl w:val="0"/>
          <w:numId w:val="7"/>
        </w:numPr>
        <w:tabs>
          <w:tab w:val="left" w:pos="32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calendarul activităților educative al unității de învățământ;</w:t>
      </w:r>
    </w:p>
    <w:p w14:paraId="468EF989">
      <w:pPr>
        <w:numPr>
          <w:ilvl w:val="0"/>
          <w:numId w:val="7"/>
        </w:numPr>
        <w:tabs>
          <w:tab w:val="left" w:pos="29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prin decizie, regulamentele de funcționare ale cercurilor, asociațiilor sportive și cultural artistice ale copiilor din unitatea de învățământ , în baza hotărârii consiliului de administrație;</w:t>
      </w:r>
    </w:p>
    <w:p w14:paraId="7607CB84">
      <w:pPr>
        <w:numPr>
          <w:ilvl w:val="0"/>
          <w:numId w:val="7"/>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elaborează instrumente interne de lucru, utilizate în activitatea de îndrumare, control și evaluare a tuturor activităților care se desfășoară în unitatea de învățământ și le supune spre aprobare consiliului de administrație;</w:t>
      </w:r>
    </w:p>
    <w:p w14:paraId="2417837C">
      <w:pPr>
        <w:numPr>
          <w:ilvl w:val="0"/>
          <w:numId w:val="7"/>
        </w:numPr>
        <w:tabs>
          <w:tab w:val="left" w:pos="257"/>
        </w:tabs>
        <w:spacing w:after="0"/>
        <w:ind w:left="360"/>
        <w:jc w:val="both"/>
        <w:rPr>
          <w:rFonts w:ascii="Times New Roman" w:hAnsi="Times New Roman"/>
          <w:sz w:val="24"/>
          <w:szCs w:val="24"/>
          <w:lang w:val="ro-RO"/>
        </w:rPr>
      </w:pPr>
      <w:r>
        <w:rPr>
          <w:rFonts w:ascii="Times New Roman" w:hAnsi="Times New Roman"/>
          <w:sz w:val="24"/>
          <w:szCs w:val="24"/>
          <w:lang w:val="ro-RO"/>
        </w:rPr>
        <w:t>asigură aplicarea planului de învățământ, a programelor școlare și a metodologiei privind evaluarea rezultatelor școlare;</w:t>
      </w:r>
    </w:p>
    <w:p w14:paraId="351C01B1">
      <w:pPr>
        <w:numPr>
          <w:ilvl w:val="0"/>
          <w:numId w:val="7"/>
        </w:numPr>
        <w:tabs>
          <w:tab w:val="left" w:pos="322"/>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p>
    <w:p w14:paraId="0E79AE62">
      <w:pPr>
        <w:numPr>
          <w:ilvl w:val="0"/>
          <w:numId w:val="7"/>
        </w:numPr>
        <w:tabs>
          <w:tab w:val="left" w:pos="207"/>
        </w:tabs>
        <w:spacing w:after="0" w:line="240" w:lineRule="auto"/>
        <w:ind w:left="360"/>
        <w:rPr>
          <w:rFonts w:ascii="Times New Roman" w:hAnsi="Times New Roman"/>
          <w:sz w:val="24"/>
          <w:szCs w:val="24"/>
          <w:lang w:val="ro-RO"/>
        </w:rPr>
      </w:pPr>
      <w:r>
        <w:rPr>
          <w:rFonts w:ascii="Times New Roman" w:hAnsi="Times New Roman"/>
          <w:sz w:val="24"/>
          <w:szCs w:val="24"/>
          <w:lang w:val="ro-RO"/>
        </w:rPr>
        <w:t>monitorizează activitatea de formare continuă a personalului din unitate;</w:t>
      </w:r>
    </w:p>
    <w:p w14:paraId="6D23993A">
      <w:pPr>
        <w:numPr>
          <w:ilvl w:val="0"/>
          <w:numId w:val="7"/>
        </w:numPr>
        <w:tabs>
          <w:tab w:val="left" w:pos="27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monitorizează activitatea cadrelor didactice debutante și sprijină integrarea acestora în colectivul unității de învățământ;</w:t>
      </w:r>
    </w:p>
    <w:p w14:paraId="09BA25AF">
      <w:pPr>
        <w:numPr>
          <w:ilvl w:val="0"/>
          <w:numId w:val="7"/>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consemnează zilnic în condica de prezență absențele și întârzierile la program ale personalului didactic de predare, precum și întârzierile personalului didactic auxiliar și administrativ, de la programul de lucru;</w:t>
      </w:r>
    </w:p>
    <w:p w14:paraId="4544555C">
      <w:pPr>
        <w:numPr>
          <w:ilvl w:val="0"/>
          <w:numId w:val="7"/>
        </w:numPr>
        <w:tabs>
          <w:tab w:val="left" w:pos="33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își asumă, alături de consiliul de administrație, răspunderea publică pentru performanțele unității de învățământ  pe care o conduce;</w:t>
      </w:r>
    </w:p>
    <w:p w14:paraId="698B7965">
      <w:pPr>
        <w:numPr>
          <w:ilvl w:val="0"/>
          <w:numId w:val="7"/>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numește și controlează personalul care răspunde de sigiliul unității de învățământ;</w:t>
      </w:r>
    </w:p>
    <w:p w14:paraId="26BD02C4">
      <w:pPr>
        <w:numPr>
          <w:ilvl w:val="0"/>
          <w:numId w:val="7"/>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asigură arhivarea documentelor oficiale și școlare:</w:t>
      </w:r>
    </w:p>
    <w:p w14:paraId="3C1FE255">
      <w:pPr>
        <w:numPr>
          <w:ilvl w:val="0"/>
          <w:numId w:val="7"/>
        </w:numPr>
        <w:tabs>
          <w:tab w:val="left" w:pos="489"/>
        </w:tabs>
        <w:spacing w:after="0"/>
        <w:ind w:left="360"/>
        <w:jc w:val="both"/>
        <w:rPr>
          <w:rFonts w:ascii="Times New Roman" w:hAnsi="Times New Roman"/>
          <w:sz w:val="24"/>
          <w:szCs w:val="24"/>
          <w:lang w:val="ro-RO"/>
        </w:rPr>
      </w:pPr>
      <w:r>
        <w:rPr>
          <w:rFonts w:ascii="Times New Roman" w:hAnsi="Times New Roman"/>
          <w:sz w:val="24"/>
          <w:szCs w:val="24"/>
          <w:lang w:val="ro-RO"/>
        </w:rPr>
        <w:t>răspunde de întocmirea, eliberarea, reconstituirea, anularea, completarea și gestionarea documentelor de evidență școlară precum si de întocmirea, eliberarea, reconstituirea, anularea, completarea, modificarea, rectificarea si gestionarea documentelor de evidență școlară;</w:t>
      </w:r>
    </w:p>
    <w:p w14:paraId="2E3ABB82">
      <w:pPr>
        <w:numPr>
          <w:ilvl w:val="0"/>
          <w:numId w:val="7"/>
        </w:numPr>
        <w:tabs>
          <w:tab w:val="left" w:pos="425"/>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p>
    <w:p w14:paraId="1E3841E5">
      <w:pPr>
        <w:pStyle w:val="23"/>
        <w:numPr>
          <w:ilvl w:val="0"/>
          <w:numId w:val="7"/>
        </w:numPr>
        <w:tabs>
          <w:tab w:val="left" w:pos="389"/>
        </w:tabs>
        <w:spacing w:after="0"/>
        <w:ind w:left="360"/>
        <w:rPr>
          <w:rFonts w:ascii="Times New Roman" w:hAnsi="Times New Roman"/>
          <w:sz w:val="24"/>
          <w:szCs w:val="24"/>
        </w:rPr>
      </w:pPr>
      <w:r>
        <w:rPr>
          <w:rFonts w:ascii="Times New Roman" w:hAnsi="Times New Roman"/>
          <w:sz w:val="24"/>
          <w:szCs w:val="24"/>
        </w:rPr>
        <w:t>răspunde de realizarea, utilizarea, păstrarea, completarea și modernizarea bazei materiale și sportive a unității de învățământ, coordonează activitatea din internat și de la cantină;</w:t>
      </w:r>
    </w:p>
    <w:p w14:paraId="6F44B598">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întocmirea corectă și la termen a statelor lunare de plată a drepturilor salariale;</w:t>
      </w:r>
    </w:p>
    <w:p w14:paraId="39F78C65">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asigurarea manualelor școlare pentru elevii din învățământul obligatoriu, conform prevederilor legale. Asigură personalului didactic condițiile necesare pentru studierea și alegerea manualelor pentru elevi;</w:t>
      </w:r>
    </w:p>
    <w:p w14:paraId="68D1C20D">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stabilirea necesarului de burse sau a altor facilități la nivelul unității de învățământ, conform legislației în vigoare;</w:t>
      </w:r>
    </w:p>
    <w:p w14:paraId="520E51E0">
      <w:pPr>
        <w:numPr>
          <w:ilvl w:val="0"/>
          <w:numId w:val="7"/>
        </w:numPr>
        <w:tabs>
          <w:tab w:val="left" w:pos="286"/>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respectarea condițiilor și a exigențelor privind normele de igienă școlară, de protecție și securitate în muncă, de protecție civilă și de pază contra incendiilor, în unitatea de învățământ;</w:t>
      </w:r>
    </w:p>
    <w:p w14:paraId="0A67E076">
      <w:pPr>
        <w:numPr>
          <w:ilvl w:val="0"/>
          <w:numId w:val="7"/>
        </w:numPr>
        <w:tabs>
          <w:tab w:val="left" w:pos="396"/>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4E1AB96D">
      <w:pPr>
        <w:numPr>
          <w:ilvl w:val="0"/>
          <w:numId w:val="7"/>
        </w:numPr>
        <w:tabs>
          <w:tab w:val="left" w:pos="387"/>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transmiterea corectă și la termen a datelor solicitate de inspectoratul școlar;</w:t>
      </w:r>
    </w:p>
    <w:p w14:paraId="72486B07">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5F3EE2FA">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 comunică inspectorului școlar general, în timpul cel mai scurt, orice situație de natură să afecteze procesul instructiv-educativ sau imaginea școlii;</w:t>
      </w:r>
    </w:p>
    <w:p w14:paraId="0A967F58">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realizează comunicarea cu părinții, agenții economici, alte entități, respectând principiul transparenței și al accesului la informații de interes public; </w:t>
      </w:r>
    </w:p>
    <w:p w14:paraId="4AA0035F">
      <w:pPr>
        <w:pStyle w:val="23"/>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 xml:space="preserve">realizează promovarea imaginii școlii într-o atmosferă de încredere, corectitudine și transparență; </w:t>
      </w:r>
    </w:p>
    <w:p w14:paraId="77AE3A63">
      <w:pPr>
        <w:pStyle w:val="23"/>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verifică modul de soluționare a sesizărilor, petițiilor și reclamațiilor în conformitate cu Regulamentul-cadru de organizare și funcționare a unităților de învățământ preuniversitar</w:t>
      </w:r>
      <w:r>
        <w:rPr>
          <w:rFonts w:ascii="Times New Roman" w:hAnsi="Times New Roman"/>
          <w:color w:val="FF0000"/>
          <w:sz w:val="24"/>
          <w:szCs w:val="24"/>
        </w:rPr>
        <w:t xml:space="preserve"> </w:t>
      </w:r>
      <w:r>
        <w:rPr>
          <w:rFonts w:ascii="Times New Roman" w:hAnsi="Times New Roman"/>
          <w:sz w:val="24"/>
          <w:szCs w:val="24"/>
        </w:rPr>
        <w:t xml:space="preserve">și alte reglementări legale; </w:t>
      </w:r>
    </w:p>
    <w:p w14:paraId="7202D0DD">
      <w:pPr>
        <w:pStyle w:val="23"/>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 xml:space="preserve">identifică nevoile de educaţie ale comunităţii locale şi a posibilităţilor de satisfacere a acestora în cadrul normativ existent şi cu resursele disponibile, </w:t>
      </w:r>
    </w:p>
    <w:p w14:paraId="71139383">
      <w:pPr>
        <w:pStyle w:val="23"/>
        <w:numPr>
          <w:ilvl w:val="0"/>
          <w:numId w:val="7"/>
        </w:numPr>
        <w:spacing w:after="0"/>
        <w:ind w:left="360"/>
        <w:jc w:val="both"/>
        <w:rPr>
          <w:rFonts w:ascii="Times New Roman" w:hAnsi="Times New Roman"/>
          <w:sz w:val="24"/>
          <w:szCs w:val="24"/>
        </w:rPr>
      </w:pPr>
      <w:r>
        <w:rPr>
          <w:rFonts w:ascii="Times New Roman" w:hAnsi="Times New Roman"/>
          <w:sz w:val="24"/>
          <w:szCs w:val="24"/>
        </w:rPr>
        <w:t>elaborează proceduri proprii pentru desfășurarea activităților predare-învățare-evaluare în situații speciale;</w:t>
      </w:r>
    </w:p>
    <w:p w14:paraId="170EF1B8">
      <w:pPr>
        <w:pStyle w:val="23"/>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directorul îndeplinește și alte atribuții stabilite de către consiliul de administrație, potrivit legii, precum și orice alte atribuții rezultând din prevederile legale în vigoare și contractele colective de muncă aplicabile;</w:t>
      </w:r>
    </w:p>
    <w:p w14:paraId="335BCD54">
      <w:pPr>
        <w:pStyle w:val="23"/>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asigură implementarea hotărârilor consiliului de administrație;</w:t>
      </w:r>
    </w:p>
    <w:p w14:paraId="63E0CCCE">
      <w:pPr>
        <w:pStyle w:val="23"/>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solicită consultanță și asistență juridică de la ISJ pentru toate procesele sau alte situații/litigii în care este implicată unitatea de învățământ și are obligația de a asigura reprezentarea în instanță;</w:t>
      </w:r>
    </w:p>
    <w:p w14:paraId="421DEB01">
      <w:pPr>
        <w:pStyle w:val="23"/>
        <w:numPr>
          <w:ilvl w:val="0"/>
          <w:numId w:val="7"/>
        </w:numPr>
        <w:tabs>
          <w:tab w:val="left" w:pos="389"/>
        </w:tabs>
        <w:spacing w:after="0"/>
        <w:ind w:left="360"/>
        <w:jc w:val="both"/>
        <w:rPr>
          <w:rFonts w:ascii="Times New Roman" w:hAnsi="Times New Roman"/>
          <w:sz w:val="24"/>
          <w:szCs w:val="24"/>
        </w:rPr>
      </w:pPr>
      <w:r>
        <w:rPr>
          <w:rFonts w:ascii="Times New Roman" w:hAnsi="Times New Roman"/>
          <w:sz w:val="24"/>
          <w:szCs w:val="24"/>
        </w:rPr>
        <w:t xml:space="preserve">propune spre aprobare consiliului de administrație suspendarea cursurilor la nivelul unor formațiuni de studiu -grupe/clase sau la nivelul unității de învățământ, în situații obiective, cum ar fi epidemii, intemperii, calamități, alte situații excepționale; </w:t>
      </w:r>
    </w:p>
    <w:p w14:paraId="10CD5BFC">
      <w:pPr>
        <w:pStyle w:val="23"/>
        <w:numPr>
          <w:ilvl w:val="0"/>
          <w:numId w:val="7"/>
        </w:numPr>
        <w:tabs>
          <w:tab w:val="left" w:pos="389"/>
        </w:tabs>
        <w:spacing w:after="0"/>
        <w:ind w:left="360"/>
        <w:rPr>
          <w:rFonts w:ascii="Times New Roman" w:hAnsi="Times New Roman"/>
          <w:sz w:val="24"/>
          <w:szCs w:val="24"/>
        </w:rPr>
      </w:pPr>
      <w:r>
        <w:rPr>
          <w:rFonts w:ascii="Times New Roman" w:hAnsi="Times New Roman"/>
          <w:sz w:val="24"/>
          <w:szCs w:val="24"/>
        </w:rPr>
        <w:t>coordonează activitățile realizate prin intermediul tehnologiei și al internetului la nivelul unității de învățământ și stabilește, în acord cu cadrele didactice, modalitatea de valorificare a acestora.</w:t>
      </w:r>
    </w:p>
    <w:p w14:paraId="314E8520">
      <w:pPr>
        <w:ind w:left="7" w:firstLine="720"/>
        <w:jc w:val="both"/>
        <w:rPr>
          <w:rFonts w:ascii="Times New Roman" w:hAnsi="Times New Roman"/>
          <w:sz w:val="24"/>
          <w:szCs w:val="24"/>
          <w:lang w:val="ro-RO"/>
        </w:rPr>
      </w:pPr>
    </w:p>
    <w:p w14:paraId="2C55E768">
      <w:pPr>
        <w:ind w:left="7" w:firstLine="720"/>
        <w:jc w:val="both"/>
        <w:rPr>
          <w:rFonts w:ascii="Times New Roman" w:hAnsi="Times New Roman"/>
          <w:sz w:val="24"/>
          <w:szCs w:val="24"/>
          <w:lang w:val="ro-RO"/>
        </w:rPr>
      </w:pPr>
      <w:r>
        <w:rPr>
          <w:rFonts w:ascii="Times New Roman" w:hAnsi="Times New Roman"/>
          <w:sz w:val="24"/>
          <w:szCs w:val="24"/>
          <w:lang w:val="ro-RO"/>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 în conformitate cu prevederile legale.</w:t>
      </w:r>
    </w:p>
    <w:p w14:paraId="769B3EE5">
      <w:pPr>
        <w:ind w:firstLine="720"/>
        <w:jc w:val="both"/>
        <w:rPr>
          <w:rFonts w:ascii="Times New Roman" w:hAnsi="Times New Roman"/>
          <w:sz w:val="24"/>
          <w:szCs w:val="24"/>
          <w:lang w:val="ro-RO"/>
        </w:rPr>
      </w:pPr>
      <w:r>
        <w:rPr>
          <w:rFonts w:ascii="Times New Roman" w:hAnsi="Times New Roman"/>
          <w:sz w:val="24"/>
          <w:szCs w:val="24"/>
          <w:lang w:val="ro-RO"/>
        </w:rPr>
        <w:t>În lipsă, directorul are obligația de a delega atribuțiile către un alt cadru didactic, membru al consiliului de administrație. Neîndeplinirea acestei obligații constituie abatere disciplinară și se sancționează conform legii.</w:t>
      </w:r>
    </w:p>
    <w:p w14:paraId="3CC8C749">
      <w:pPr>
        <w:ind w:firstLine="720"/>
        <w:jc w:val="both"/>
        <w:rPr>
          <w:rFonts w:ascii="Times New Roman" w:hAnsi="Times New Roman"/>
          <w:sz w:val="24"/>
          <w:szCs w:val="24"/>
          <w:lang w:val="ro-RO"/>
        </w:rPr>
      </w:pPr>
    </w:p>
    <w:p w14:paraId="7D920B2A">
      <w:pPr>
        <w:ind w:firstLine="720"/>
        <w:jc w:val="both"/>
        <w:rPr>
          <w:rFonts w:ascii="Times New Roman" w:hAnsi="Times New Roman"/>
          <w:sz w:val="24"/>
          <w:szCs w:val="24"/>
          <w:lang w:val="ro-RO"/>
        </w:rPr>
      </w:pPr>
    </w:p>
    <w:p w14:paraId="66C34DAE">
      <w:pPr>
        <w:tabs>
          <w:tab w:val="left" w:pos="6887"/>
        </w:tabs>
        <w:ind w:left="447"/>
        <w:rPr>
          <w:rFonts w:ascii="Times New Roman" w:hAnsi="Times New Roman"/>
          <w:b/>
          <w:sz w:val="24"/>
          <w:szCs w:val="24"/>
          <w:lang w:val="ro-RO"/>
        </w:rPr>
      </w:pPr>
      <w:r>
        <w:rPr>
          <w:rFonts w:ascii="Times New Roman" w:hAnsi="Times New Roman"/>
          <w:b/>
          <w:sz w:val="24"/>
          <w:szCs w:val="24"/>
          <w:lang w:val="ro-RO"/>
        </w:rPr>
        <w:t>Inspector Școlar General,</w:t>
      </w:r>
      <w:r>
        <w:rPr>
          <w:rFonts w:ascii="Times New Roman" w:hAnsi="Times New Roman" w:eastAsia="Times New Roman"/>
          <w:sz w:val="24"/>
          <w:szCs w:val="24"/>
          <w:lang w:val="ro-RO"/>
        </w:rPr>
        <w:tab/>
      </w:r>
      <w:r>
        <w:rPr>
          <w:rFonts w:ascii="Times New Roman" w:hAnsi="Times New Roman"/>
          <w:b/>
          <w:sz w:val="24"/>
          <w:szCs w:val="24"/>
          <w:lang w:val="ro-RO"/>
        </w:rPr>
        <w:t>Director,</w:t>
      </w:r>
    </w:p>
    <w:sectPr>
      <w:headerReference r:id="rId5" w:type="default"/>
      <w:footerReference r:id="rId6" w:type="default"/>
      <w:type w:val="continuous"/>
      <w:pgSz w:w="11907" w:h="16839"/>
      <w:pgMar w:top="720" w:right="850" w:bottom="720" w:left="1134" w:header="425" w:footer="0"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NSimSun">
    <w:panose1 w:val="02010609030101010101"/>
    <w:charset w:val="86"/>
    <w:family w:val="modern"/>
    <w:pitch w:val="default"/>
    <w:sig w:usb0="00000203" w:usb1="288F0000" w:usb2="00000006" w:usb3="00000000" w:csb0="00040001" w:csb1="00000000"/>
  </w:font>
  <w:font w:name="Garamond">
    <w:panose1 w:val="02020404030301010803"/>
    <w:charset w:val="00"/>
    <w:family w:val="roman"/>
    <w:pitch w:val="default"/>
    <w:sig w:usb0="00000287" w:usb1="00000000" w:usb2="00000000" w:usb3="00000000" w:csb0="0000009F" w:csb1="DFD70000"/>
  </w:font>
  <w:font w:name="Palatino Linotype">
    <w:panose1 w:val="02040502050505030304"/>
    <w:charset w:val="00"/>
    <w:family w:val="roman"/>
    <w:pitch w:val="default"/>
    <w:sig w:usb0="E0000287" w:usb1="40000013" w:usb2="00000000" w:usb3="00000000" w:csb0="2000019F" w:csb1="00000000"/>
  </w:font>
  <w:font w:name="Myriad Pro Black Cond">
    <w:altName w:val="Arial"/>
    <w:panose1 w:val="00000000000000000000"/>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6FEC3">
    <w:pPr>
      <w:pStyle w:val="10"/>
      <w:spacing w:line="276" w:lineRule="auto"/>
      <w:jc w:val="right"/>
      <w:rPr>
        <w:rFonts w:ascii="Palatino Linotype" w:hAnsi="Palatino Linotype"/>
        <w:b/>
        <w:sz w:val="18"/>
        <w:szCs w:val="20"/>
      </w:rPr>
    </w:pPr>
    <w:r>
      <w:rPr>
        <w:rFonts w:ascii="Palatino Linotype" w:hAnsi="Palatino Linotype"/>
        <w:b/>
        <w:sz w:val="18"/>
        <w:szCs w:val="20"/>
      </w:rPr>
      <w:fldChar w:fldCharType="begin"/>
    </w:r>
    <w:r>
      <w:rPr>
        <w:rFonts w:ascii="Palatino Linotype" w:hAnsi="Palatino Linotype"/>
        <w:b/>
        <w:sz w:val="18"/>
        <w:szCs w:val="20"/>
      </w:rPr>
      <w:instrText xml:space="preserve"> PAGE   \* MERGEFORMAT </w:instrText>
    </w:r>
    <w:r>
      <w:rPr>
        <w:rFonts w:ascii="Palatino Linotype" w:hAnsi="Palatino Linotype"/>
        <w:b/>
        <w:sz w:val="18"/>
        <w:szCs w:val="20"/>
      </w:rPr>
      <w:fldChar w:fldCharType="separate"/>
    </w:r>
    <w:r>
      <w:rPr>
        <w:rFonts w:ascii="Palatino Linotype" w:hAnsi="Palatino Linotype"/>
        <w:b/>
        <w:sz w:val="18"/>
        <w:szCs w:val="20"/>
      </w:rPr>
      <w:t>22</w:t>
    </w:r>
    <w:r>
      <w:rPr>
        <w:rFonts w:ascii="Palatino Linotype" w:hAnsi="Palatino Linotype"/>
        <w:b/>
        <w:sz w:val="18"/>
        <w:szCs w:val="20"/>
      </w:rPr>
      <w:fldChar w:fldCharType="end"/>
    </w:r>
    <w:r>
      <w:rPr>
        <w:rFonts w:ascii="Palatino Linotype" w:hAnsi="Palatino Linotype"/>
        <w:b/>
        <w:sz w:val="18"/>
        <w:szCs w:val="20"/>
      </w:rPr>
      <w:t xml:space="preserve"> / </w:t>
    </w:r>
    <w:r>
      <w:rPr>
        <w:rFonts w:ascii="Palatino Linotype" w:hAnsi="Palatino Linotype"/>
        <w:b/>
        <w:sz w:val="18"/>
        <w:szCs w:val="20"/>
      </w:rPr>
      <w:fldChar w:fldCharType="begin"/>
    </w:r>
    <w:r>
      <w:rPr>
        <w:rFonts w:ascii="Palatino Linotype" w:hAnsi="Palatino Linotype"/>
        <w:b/>
        <w:sz w:val="18"/>
        <w:szCs w:val="20"/>
      </w:rPr>
      <w:instrText xml:space="preserve"> NUMPAGES   \* MERGEFORMAT </w:instrText>
    </w:r>
    <w:r>
      <w:rPr>
        <w:rFonts w:ascii="Palatino Linotype" w:hAnsi="Palatino Linotype"/>
        <w:b/>
        <w:sz w:val="18"/>
        <w:szCs w:val="20"/>
      </w:rPr>
      <w:fldChar w:fldCharType="separate"/>
    </w:r>
    <w:r>
      <w:rPr>
        <w:rFonts w:ascii="Palatino Linotype" w:hAnsi="Palatino Linotype"/>
        <w:b/>
        <w:sz w:val="18"/>
        <w:szCs w:val="20"/>
      </w:rPr>
      <w:t>23</w:t>
    </w:r>
    <w:r>
      <w:rPr>
        <w:rFonts w:ascii="Palatino Linotype" w:hAnsi="Palatino Linotype"/>
        <w:b/>
        <w:sz w:val="18"/>
        <w:szCs w:val="20"/>
      </w:rPr>
      <w:fldChar w:fldCharType="end"/>
    </w:r>
  </w:p>
  <w:p w14:paraId="5BF83935">
    <w:pPr>
      <w:pStyle w:val="10"/>
      <w:ind w:left="6521" w:hanging="6521"/>
      <w:jc w:val="center"/>
      <w:rPr>
        <w:rFonts w:ascii="Myriad Pro Black Cond" w:hAnsi="Myriad Pro Black Cond"/>
        <w:color w:val="0F243E"/>
        <w:sz w:val="16"/>
        <w:szCs w:val="18"/>
      </w:rPr>
    </w:pPr>
    <w:r>
      <w:rPr>
        <w:rFonts w:ascii="Myriad Pro Black Cond" w:hAnsi="Myriad Pro Black Cond"/>
        <w:color w:val="0F243E"/>
        <w:sz w:val="16"/>
        <w:szCs w:val="18"/>
      </w:rPr>
      <w:drawing>
        <wp:inline distT="0" distB="0" distL="0" distR="0">
          <wp:extent cx="6480175" cy="800100"/>
          <wp:effectExtent l="0" t="0" r="0" b="0"/>
          <wp:docPr id="241036736"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36736" name="Kép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480175" cy="80010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139"/>
    </w:tblGrid>
    <w:tr w14:paraId="05F7DEA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0205" w:type="dxa"/>
        </w:tcPr>
        <w:p w14:paraId="65F1BD4B">
          <w:pPr>
            <w:pStyle w:val="11"/>
            <w:tabs>
              <w:tab w:val="left" w:pos="4305"/>
            </w:tabs>
          </w:pPr>
          <w:r>
            <w:drawing>
              <wp:inline distT="0" distB="0" distL="0" distR="0">
                <wp:extent cx="5793740" cy="590550"/>
                <wp:effectExtent l="0" t="0" r="0" b="0"/>
                <wp:docPr id="45563152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631525" name="Kép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96915" cy="590834"/>
                        </a:xfrm>
                        <a:prstGeom prst="rect">
                          <a:avLst/>
                        </a:prstGeom>
                        <a:noFill/>
                        <a:ln>
                          <a:noFill/>
                        </a:ln>
                      </pic:spPr>
                    </pic:pic>
                  </a:graphicData>
                </a:graphic>
              </wp:inline>
            </w:drawing>
          </w:r>
          <w:r>
            <w:tab/>
          </w:r>
          <w:r>
            <w:tab/>
          </w:r>
        </w:p>
      </w:tc>
    </w:tr>
  </w:tbl>
  <w:p w14:paraId="1125A8E7">
    <w:pPr>
      <w:pStyle w:val="11"/>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00000003"/>
    <w:multiLevelType w:val="multilevel"/>
    <w:tmpl w:val="00000003"/>
    <w:lvl w:ilvl="0" w:tentative="0">
      <w:start w:val="4"/>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04"/>
    <w:multiLevelType w:val="multilevel"/>
    <w:tmpl w:val="00000004"/>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07"/>
    <w:multiLevelType w:val="multilevel"/>
    <w:tmpl w:val="00000007"/>
    <w:lvl w:ilvl="0" w:tentative="0">
      <w:start w:val="1"/>
      <w:numFmt w:val="lowerLetter"/>
      <w:lvlText w:val="%1)"/>
      <w:lvlJc w:val="left"/>
      <w:rPr>
        <w:color w:val="auto"/>
      </w:rPr>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8166150"/>
    <w:multiLevelType w:val="multilevel"/>
    <w:tmpl w:val="08166150"/>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D8B4688"/>
    <w:multiLevelType w:val="multilevel"/>
    <w:tmpl w:val="0D8B4688"/>
    <w:lvl w:ilvl="0" w:tentative="0">
      <w:start w:val="1"/>
      <w:numFmt w:val="lowerLetter"/>
      <w:lvlText w:val="%1)"/>
      <w:lvlJc w:val="left"/>
      <w:pPr>
        <w:ind w:left="50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A561E5A"/>
    <w:multiLevelType w:val="multilevel"/>
    <w:tmpl w:val="1A561E5A"/>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0F0"/>
    <w:rsid w:val="00002654"/>
    <w:rsid w:val="00005DBA"/>
    <w:rsid w:val="00010AED"/>
    <w:rsid w:val="00010DDB"/>
    <w:rsid w:val="00013BE3"/>
    <w:rsid w:val="0001432E"/>
    <w:rsid w:val="00017486"/>
    <w:rsid w:val="0002262D"/>
    <w:rsid w:val="000248B0"/>
    <w:rsid w:val="00024A52"/>
    <w:rsid w:val="00026E02"/>
    <w:rsid w:val="000275BF"/>
    <w:rsid w:val="0002797F"/>
    <w:rsid w:val="00032279"/>
    <w:rsid w:val="00033764"/>
    <w:rsid w:val="00035D61"/>
    <w:rsid w:val="000406CA"/>
    <w:rsid w:val="00042FEB"/>
    <w:rsid w:val="000445C0"/>
    <w:rsid w:val="000469E5"/>
    <w:rsid w:val="0005261A"/>
    <w:rsid w:val="0005438F"/>
    <w:rsid w:val="00057466"/>
    <w:rsid w:val="00064DED"/>
    <w:rsid w:val="000677EF"/>
    <w:rsid w:val="00070CF4"/>
    <w:rsid w:val="00076A98"/>
    <w:rsid w:val="000826FD"/>
    <w:rsid w:val="0008489E"/>
    <w:rsid w:val="00094D3E"/>
    <w:rsid w:val="00097EB1"/>
    <w:rsid w:val="000A3D50"/>
    <w:rsid w:val="000B032C"/>
    <w:rsid w:val="000B40AA"/>
    <w:rsid w:val="000B43D3"/>
    <w:rsid w:val="000B4C1C"/>
    <w:rsid w:val="000C51B8"/>
    <w:rsid w:val="000D785D"/>
    <w:rsid w:val="000E09F8"/>
    <w:rsid w:val="000E46F3"/>
    <w:rsid w:val="000E62EF"/>
    <w:rsid w:val="000F0543"/>
    <w:rsid w:val="000F60F0"/>
    <w:rsid w:val="00100476"/>
    <w:rsid w:val="00102465"/>
    <w:rsid w:val="001026C2"/>
    <w:rsid w:val="0010302D"/>
    <w:rsid w:val="00112222"/>
    <w:rsid w:val="00126266"/>
    <w:rsid w:val="001309F6"/>
    <w:rsid w:val="0013489A"/>
    <w:rsid w:val="00136F6F"/>
    <w:rsid w:val="00141B21"/>
    <w:rsid w:val="001439A3"/>
    <w:rsid w:val="00144DCC"/>
    <w:rsid w:val="00153564"/>
    <w:rsid w:val="00153BAE"/>
    <w:rsid w:val="0015638B"/>
    <w:rsid w:val="00160C05"/>
    <w:rsid w:val="00161A77"/>
    <w:rsid w:val="0016210F"/>
    <w:rsid w:val="00162B51"/>
    <w:rsid w:val="0017072E"/>
    <w:rsid w:val="001712DB"/>
    <w:rsid w:val="00171BF4"/>
    <w:rsid w:val="001728A2"/>
    <w:rsid w:val="00172F44"/>
    <w:rsid w:val="001739C9"/>
    <w:rsid w:val="00174364"/>
    <w:rsid w:val="00174BAD"/>
    <w:rsid w:val="001921F3"/>
    <w:rsid w:val="00195C2C"/>
    <w:rsid w:val="00196B7C"/>
    <w:rsid w:val="001A28A8"/>
    <w:rsid w:val="001B766F"/>
    <w:rsid w:val="001C4D15"/>
    <w:rsid w:val="001C6787"/>
    <w:rsid w:val="001D1051"/>
    <w:rsid w:val="001D1B8B"/>
    <w:rsid w:val="001E35BD"/>
    <w:rsid w:val="001F03E6"/>
    <w:rsid w:val="001F0DB4"/>
    <w:rsid w:val="002001AC"/>
    <w:rsid w:val="002029A6"/>
    <w:rsid w:val="00203F5C"/>
    <w:rsid w:val="0021133B"/>
    <w:rsid w:val="00213B82"/>
    <w:rsid w:val="0022230D"/>
    <w:rsid w:val="00223476"/>
    <w:rsid w:val="00224445"/>
    <w:rsid w:val="00230CD9"/>
    <w:rsid w:val="00234281"/>
    <w:rsid w:val="00236EF4"/>
    <w:rsid w:val="0024049C"/>
    <w:rsid w:val="00241855"/>
    <w:rsid w:val="00242615"/>
    <w:rsid w:val="002453B8"/>
    <w:rsid w:val="00246BCD"/>
    <w:rsid w:val="0024795F"/>
    <w:rsid w:val="00256BA7"/>
    <w:rsid w:val="00262B2F"/>
    <w:rsid w:val="00262E40"/>
    <w:rsid w:val="00265AAB"/>
    <w:rsid w:val="00266356"/>
    <w:rsid w:val="002664DC"/>
    <w:rsid w:val="002837C7"/>
    <w:rsid w:val="002863FE"/>
    <w:rsid w:val="00287D06"/>
    <w:rsid w:val="00287E8B"/>
    <w:rsid w:val="00291875"/>
    <w:rsid w:val="00292536"/>
    <w:rsid w:val="00292C13"/>
    <w:rsid w:val="00296BD1"/>
    <w:rsid w:val="00297956"/>
    <w:rsid w:val="002A36B2"/>
    <w:rsid w:val="002A526E"/>
    <w:rsid w:val="002B071F"/>
    <w:rsid w:val="002B5E4E"/>
    <w:rsid w:val="002B7E78"/>
    <w:rsid w:val="002C31B2"/>
    <w:rsid w:val="002C3D9D"/>
    <w:rsid w:val="002C63AC"/>
    <w:rsid w:val="002D469C"/>
    <w:rsid w:val="002D7F40"/>
    <w:rsid w:val="002E3493"/>
    <w:rsid w:val="002E5DCE"/>
    <w:rsid w:val="002E6A16"/>
    <w:rsid w:val="002F1617"/>
    <w:rsid w:val="002F4C09"/>
    <w:rsid w:val="002F65E9"/>
    <w:rsid w:val="0030506E"/>
    <w:rsid w:val="00320478"/>
    <w:rsid w:val="00327254"/>
    <w:rsid w:val="003355F0"/>
    <w:rsid w:val="0034263B"/>
    <w:rsid w:val="003469E0"/>
    <w:rsid w:val="00352BF3"/>
    <w:rsid w:val="00352F6D"/>
    <w:rsid w:val="00354E6C"/>
    <w:rsid w:val="0035644C"/>
    <w:rsid w:val="00372AF2"/>
    <w:rsid w:val="0037328C"/>
    <w:rsid w:val="00375074"/>
    <w:rsid w:val="00380D98"/>
    <w:rsid w:val="00390E57"/>
    <w:rsid w:val="00391AF9"/>
    <w:rsid w:val="00395001"/>
    <w:rsid w:val="00397F74"/>
    <w:rsid w:val="003A1B20"/>
    <w:rsid w:val="003A4FA7"/>
    <w:rsid w:val="003A5883"/>
    <w:rsid w:val="003A6419"/>
    <w:rsid w:val="003B2A9D"/>
    <w:rsid w:val="003B5190"/>
    <w:rsid w:val="003B6A64"/>
    <w:rsid w:val="003B7789"/>
    <w:rsid w:val="003C098C"/>
    <w:rsid w:val="003C1004"/>
    <w:rsid w:val="003C3447"/>
    <w:rsid w:val="003C4B7D"/>
    <w:rsid w:val="003D0ED0"/>
    <w:rsid w:val="003D1478"/>
    <w:rsid w:val="003D17A4"/>
    <w:rsid w:val="003D1A38"/>
    <w:rsid w:val="003D3635"/>
    <w:rsid w:val="003D3668"/>
    <w:rsid w:val="003D44CC"/>
    <w:rsid w:val="003D57F2"/>
    <w:rsid w:val="003E05ED"/>
    <w:rsid w:val="003E267A"/>
    <w:rsid w:val="003E3873"/>
    <w:rsid w:val="003E39AB"/>
    <w:rsid w:val="003F0133"/>
    <w:rsid w:val="003F057C"/>
    <w:rsid w:val="003F0C46"/>
    <w:rsid w:val="003F659C"/>
    <w:rsid w:val="004055F4"/>
    <w:rsid w:val="00407520"/>
    <w:rsid w:val="00410ADB"/>
    <w:rsid w:val="00416DE4"/>
    <w:rsid w:val="00424B3C"/>
    <w:rsid w:val="00424B89"/>
    <w:rsid w:val="004338E3"/>
    <w:rsid w:val="00434C0B"/>
    <w:rsid w:val="0044007C"/>
    <w:rsid w:val="004412BB"/>
    <w:rsid w:val="0044242F"/>
    <w:rsid w:val="0044488F"/>
    <w:rsid w:val="0045112E"/>
    <w:rsid w:val="00451B2D"/>
    <w:rsid w:val="00462344"/>
    <w:rsid w:val="00463774"/>
    <w:rsid w:val="004648F2"/>
    <w:rsid w:val="00466D85"/>
    <w:rsid w:val="004676A7"/>
    <w:rsid w:val="0047251D"/>
    <w:rsid w:val="004812A2"/>
    <w:rsid w:val="0048538F"/>
    <w:rsid w:val="00487AFF"/>
    <w:rsid w:val="00495220"/>
    <w:rsid w:val="00495ADE"/>
    <w:rsid w:val="004A0108"/>
    <w:rsid w:val="004A645A"/>
    <w:rsid w:val="004B2519"/>
    <w:rsid w:val="004B7195"/>
    <w:rsid w:val="004B75F4"/>
    <w:rsid w:val="004C05BD"/>
    <w:rsid w:val="004C25B8"/>
    <w:rsid w:val="004C2D3D"/>
    <w:rsid w:val="004C645F"/>
    <w:rsid w:val="004D3075"/>
    <w:rsid w:val="004D5547"/>
    <w:rsid w:val="004E4CBD"/>
    <w:rsid w:val="004E7D79"/>
    <w:rsid w:val="004F535C"/>
    <w:rsid w:val="00502CE5"/>
    <w:rsid w:val="005076CD"/>
    <w:rsid w:val="005127FB"/>
    <w:rsid w:val="005166A2"/>
    <w:rsid w:val="00517743"/>
    <w:rsid w:val="00517D99"/>
    <w:rsid w:val="00521496"/>
    <w:rsid w:val="00521BBB"/>
    <w:rsid w:val="00525F8A"/>
    <w:rsid w:val="00526D50"/>
    <w:rsid w:val="00545767"/>
    <w:rsid w:val="00546D77"/>
    <w:rsid w:val="00547CC7"/>
    <w:rsid w:val="005564F0"/>
    <w:rsid w:val="005639DD"/>
    <w:rsid w:val="0057293E"/>
    <w:rsid w:val="00584E90"/>
    <w:rsid w:val="0059352C"/>
    <w:rsid w:val="00594357"/>
    <w:rsid w:val="00595A84"/>
    <w:rsid w:val="005B2226"/>
    <w:rsid w:val="005B54E4"/>
    <w:rsid w:val="005B7835"/>
    <w:rsid w:val="005C1BF6"/>
    <w:rsid w:val="005C3A3B"/>
    <w:rsid w:val="005D4080"/>
    <w:rsid w:val="005D68BD"/>
    <w:rsid w:val="005D76E1"/>
    <w:rsid w:val="005E0CC5"/>
    <w:rsid w:val="005E0DD6"/>
    <w:rsid w:val="005E2F80"/>
    <w:rsid w:val="005E62DF"/>
    <w:rsid w:val="005F1CB6"/>
    <w:rsid w:val="005F37B0"/>
    <w:rsid w:val="005F43AC"/>
    <w:rsid w:val="005F4DBD"/>
    <w:rsid w:val="005F7B9D"/>
    <w:rsid w:val="00603E81"/>
    <w:rsid w:val="00606A63"/>
    <w:rsid w:val="0060700D"/>
    <w:rsid w:val="00607434"/>
    <w:rsid w:val="006154A7"/>
    <w:rsid w:val="00616515"/>
    <w:rsid w:val="00621D93"/>
    <w:rsid w:val="00624CED"/>
    <w:rsid w:val="006269F5"/>
    <w:rsid w:val="00632F58"/>
    <w:rsid w:val="00634074"/>
    <w:rsid w:val="00634AED"/>
    <w:rsid w:val="00636B58"/>
    <w:rsid w:val="00643EAD"/>
    <w:rsid w:val="00646FA7"/>
    <w:rsid w:val="00652D5E"/>
    <w:rsid w:val="00657A39"/>
    <w:rsid w:val="006608B6"/>
    <w:rsid w:val="00664FFE"/>
    <w:rsid w:val="00667867"/>
    <w:rsid w:val="00683EDE"/>
    <w:rsid w:val="00690A62"/>
    <w:rsid w:val="006929CA"/>
    <w:rsid w:val="00694905"/>
    <w:rsid w:val="006957B2"/>
    <w:rsid w:val="00696DFD"/>
    <w:rsid w:val="00697817"/>
    <w:rsid w:val="006A00C8"/>
    <w:rsid w:val="006A1FE4"/>
    <w:rsid w:val="006A651F"/>
    <w:rsid w:val="006B0873"/>
    <w:rsid w:val="006B105C"/>
    <w:rsid w:val="006B192D"/>
    <w:rsid w:val="006B417C"/>
    <w:rsid w:val="006C1CAF"/>
    <w:rsid w:val="006C794D"/>
    <w:rsid w:val="006C7ACD"/>
    <w:rsid w:val="006D0209"/>
    <w:rsid w:val="006D7ACB"/>
    <w:rsid w:val="006E2E49"/>
    <w:rsid w:val="006E46FF"/>
    <w:rsid w:val="006E47E7"/>
    <w:rsid w:val="006E6E8F"/>
    <w:rsid w:val="006F05D8"/>
    <w:rsid w:val="006F2347"/>
    <w:rsid w:val="006F30B6"/>
    <w:rsid w:val="006F44C5"/>
    <w:rsid w:val="006F7E76"/>
    <w:rsid w:val="007029FF"/>
    <w:rsid w:val="00702FCD"/>
    <w:rsid w:val="00704252"/>
    <w:rsid w:val="00704E18"/>
    <w:rsid w:val="00705C1E"/>
    <w:rsid w:val="007069BD"/>
    <w:rsid w:val="00710987"/>
    <w:rsid w:val="00714656"/>
    <w:rsid w:val="007149C8"/>
    <w:rsid w:val="00721AB9"/>
    <w:rsid w:val="007220CA"/>
    <w:rsid w:val="0072608A"/>
    <w:rsid w:val="0073182D"/>
    <w:rsid w:val="00731963"/>
    <w:rsid w:val="007375E7"/>
    <w:rsid w:val="00747FE4"/>
    <w:rsid w:val="00756210"/>
    <w:rsid w:val="00760275"/>
    <w:rsid w:val="00760C22"/>
    <w:rsid w:val="0076144F"/>
    <w:rsid w:val="007664B3"/>
    <w:rsid w:val="00766A0E"/>
    <w:rsid w:val="00766F7F"/>
    <w:rsid w:val="00767AA8"/>
    <w:rsid w:val="00767C19"/>
    <w:rsid w:val="00770C9A"/>
    <w:rsid w:val="0079087D"/>
    <w:rsid w:val="00794A6B"/>
    <w:rsid w:val="00795390"/>
    <w:rsid w:val="00797DCD"/>
    <w:rsid w:val="007A03B4"/>
    <w:rsid w:val="007A0957"/>
    <w:rsid w:val="007A0FAE"/>
    <w:rsid w:val="007A15C0"/>
    <w:rsid w:val="007A38CB"/>
    <w:rsid w:val="007A533B"/>
    <w:rsid w:val="007A6128"/>
    <w:rsid w:val="007A61B6"/>
    <w:rsid w:val="007B153A"/>
    <w:rsid w:val="007B6E1A"/>
    <w:rsid w:val="007C13C0"/>
    <w:rsid w:val="007C402E"/>
    <w:rsid w:val="007C526A"/>
    <w:rsid w:val="007C56F1"/>
    <w:rsid w:val="007C574F"/>
    <w:rsid w:val="007F2EF8"/>
    <w:rsid w:val="007F331E"/>
    <w:rsid w:val="00802F00"/>
    <w:rsid w:val="00804486"/>
    <w:rsid w:val="0080647E"/>
    <w:rsid w:val="00814AB3"/>
    <w:rsid w:val="00817C88"/>
    <w:rsid w:val="0082024D"/>
    <w:rsid w:val="00824FD6"/>
    <w:rsid w:val="0083034D"/>
    <w:rsid w:val="0083317C"/>
    <w:rsid w:val="00834532"/>
    <w:rsid w:val="00834B40"/>
    <w:rsid w:val="00836CD8"/>
    <w:rsid w:val="008559B8"/>
    <w:rsid w:val="00861233"/>
    <w:rsid w:val="00864E8D"/>
    <w:rsid w:val="0086707B"/>
    <w:rsid w:val="00867569"/>
    <w:rsid w:val="00876D2D"/>
    <w:rsid w:val="00884E6C"/>
    <w:rsid w:val="00885A57"/>
    <w:rsid w:val="008A2330"/>
    <w:rsid w:val="008A3240"/>
    <w:rsid w:val="008A50FE"/>
    <w:rsid w:val="008A553B"/>
    <w:rsid w:val="008A7D3B"/>
    <w:rsid w:val="008B026A"/>
    <w:rsid w:val="008C20AE"/>
    <w:rsid w:val="008C32EF"/>
    <w:rsid w:val="008C33D1"/>
    <w:rsid w:val="008C3F4C"/>
    <w:rsid w:val="008C5CBC"/>
    <w:rsid w:val="008C66FD"/>
    <w:rsid w:val="008D2876"/>
    <w:rsid w:val="008D2E87"/>
    <w:rsid w:val="008D5218"/>
    <w:rsid w:val="008D584A"/>
    <w:rsid w:val="008D78C0"/>
    <w:rsid w:val="008E2905"/>
    <w:rsid w:val="008E3C01"/>
    <w:rsid w:val="008E3E2C"/>
    <w:rsid w:val="008E7311"/>
    <w:rsid w:val="008E7BFE"/>
    <w:rsid w:val="008E7E99"/>
    <w:rsid w:val="008F673E"/>
    <w:rsid w:val="008F7287"/>
    <w:rsid w:val="00911CE6"/>
    <w:rsid w:val="00913242"/>
    <w:rsid w:val="009178A2"/>
    <w:rsid w:val="00923D3A"/>
    <w:rsid w:val="00934A77"/>
    <w:rsid w:val="00941F9F"/>
    <w:rsid w:val="0094450E"/>
    <w:rsid w:val="0094706E"/>
    <w:rsid w:val="0095177E"/>
    <w:rsid w:val="00951A26"/>
    <w:rsid w:val="00951FB8"/>
    <w:rsid w:val="009550A5"/>
    <w:rsid w:val="00955707"/>
    <w:rsid w:val="009602F7"/>
    <w:rsid w:val="00960C36"/>
    <w:rsid w:val="0096614F"/>
    <w:rsid w:val="00967946"/>
    <w:rsid w:val="0097141E"/>
    <w:rsid w:val="009738D2"/>
    <w:rsid w:val="00977013"/>
    <w:rsid w:val="00987E7F"/>
    <w:rsid w:val="009913B5"/>
    <w:rsid w:val="009969BB"/>
    <w:rsid w:val="009A0A9A"/>
    <w:rsid w:val="009B641A"/>
    <w:rsid w:val="009B6678"/>
    <w:rsid w:val="009C1EC2"/>
    <w:rsid w:val="009C2927"/>
    <w:rsid w:val="009C4588"/>
    <w:rsid w:val="009D505B"/>
    <w:rsid w:val="009D7364"/>
    <w:rsid w:val="009E194F"/>
    <w:rsid w:val="009F01F3"/>
    <w:rsid w:val="009F03E8"/>
    <w:rsid w:val="009F1C79"/>
    <w:rsid w:val="009F4FA7"/>
    <w:rsid w:val="009F654E"/>
    <w:rsid w:val="009F73F4"/>
    <w:rsid w:val="00A02F12"/>
    <w:rsid w:val="00A10913"/>
    <w:rsid w:val="00A13108"/>
    <w:rsid w:val="00A17983"/>
    <w:rsid w:val="00A42083"/>
    <w:rsid w:val="00A456B4"/>
    <w:rsid w:val="00A466B0"/>
    <w:rsid w:val="00A47EB9"/>
    <w:rsid w:val="00A5294C"/>
    <w:rsid w:val="00A6214C"/>
    <w:rsid w:val="00A63638"/>
    <w:rsid w:val="00A63F8F"/>
    <w:rsid w:val="00A64D63"/>
    <w:rsid w:val="00A71339"/>
    <w:rsid w:val="00A7214C"/>
    <w:rsid w:val="00A95F97"/>
    <w:rsid w:val="00AA1D7E"/>
    <w:rsid w:val="00AA1E36"/>
    <w:rsid w:val="00AA3ACF"/>
    <w:rsid w:val="00AA4487"/>
    <w:rsid w:val="00AA64E7"/>
    <w:rsid w:val="00AA687B"/>
    <w:rsid w:val="00AB0F83"/>
    <w:rsid w:val="00AC0D49"/>
    <w:rsid w:val="00AC277B"/>
    <w:rsid w:val="00AC3BB3"/>
    <w:rsid w:val="00AC5749"/>
    <w:rsid w:val="00AD3F6C"/>
    <w:rsid w:val="00AD5ED6"/>
    <w:rsid w:val="00AD6F1C"/>
    <w:rsid w:val="00AE0305"/>
    <w:rsid w:val="00AE1816"/>
    <w:rsid w:val="00AE4187"/>
    <w:rsid w:val="00AF031F"/>
    <w:rsid w:val="00AF0B12"/>
    <w:rsid w:val="00AF6D5E"/>
    <w:rsid w:val="00AF7240"/>
    <w:rsid w:val="00B050E1"/>
    <w:rsid w:val="00B062C5"/>
    <w:rsid w:val="00B07D20"/>
    <w:rsid w:val="00B20727"/>
    <w:rsid w:val="00B2146E"/>
    <w:rsid w:val="00B26E88"/>
    <w:rsid w:val="00B32315"/>
    <w:rsid w:val="00B40105"/>
    <w:rsid w:val="00B45BDF"/>
    <w:rsid w:val="00B5078C"/>
    <w:rsid w:val="00B737CC"/>
    <w:rsid w:val="00B74D73"/>
    <w:rsid w:val="00B83007"/>
    <w:rsid w:val="00B86C11"/>
    <w:rsid w:val="00B9029C"/>
    <w:rsid w:val="00B9477B"/>
    <w:rsid w:val="00B94EF6"/>
    <w:rsid w:val="00BA0C6C"/>
    <w:rsid w:val="00BB154F"/>
    <w:rsid w:val="00BB7B4E"/>
    <w:rsid w:val="00BC2ED6"/>
    <w:rsid w:val="00BC6F4B"/>
    <w:rsid w:val="00BC7B0D"/>
    <w:rsid w:val="00BD15C4"/>
    <w:rsid w:val="00BD22B5"/>
    <w:rsid w:val="00BD3152"/>
    <w:rsid w:val="00BE251D"/>
    <w:rsid w:val="00BE3A3B"/>
    <w:rsid w:val="00BE410F"/>
    <w:rsid w:val="00BE583D"/>
    <w:rsid w:val="00BE6DBD"/>
    <w:rsid w:val="00BE7D39"/>
    <w:rsid w:val="00BF1AD2"/>
    <w:rsid w:val="00BF35F3"/>
    <w:rsid w:val="00BF68C2"/>
    <w:rsid w:val="00C001C1"/>
    <w:rsid w:val="00C03E68"/>
    <w:rsid w:val="00C1052B"/>
    <w:rsid w:val="00C27908"/>
    <w:rsid w:val="00C32A6D"/>
    <w:rsid w:val="00C33D71"/>
    <w:rsid w:val="00C40BBC"/>
    <w:rsid w:val="00C42647"/>
    <w:rsid w:val="00C43864"/>
    <w:rsid w:val="00C53484"/>
    <w:rsid w:val="00C55BC6"/>
    <w:rsid w:val="00C61EF4"/>
    <w:rsid w:val="00C77185"/>
    <w:rsid w:val="00C86606"/>
    <w:rsid w:val="00C87040"/>
    <w:rsid w:val="00C913B8"/>
    <w:rsid w:val="00C91EFF"/>
    <w:rsid w:val="00C94A46"/>
    <w:rsid w:val="00C95232"/>
    <w:rsid w:val="00C963EC"/>
    <w:rsid w:val="00C979E2"/>
    <w:rsid w:val="00CA4F72"/>
    <w:rsid w:val="00CA5E5B"/>
    <w:rsid w:val="00CB0436"/>
    <w:rsid w:val="00CB2B77"/>
    <w:rsid w:val="00CB6C81"/>
    <w:rsid w:val="00CC623C"/>
    <w:rsid w:val="00CC7504"/>
    <w:rsid w:val="00CD143F"/>
    <w:rsid w:val="00CE183D"/>
    <w:rsid w:val="00CE2032"/>
    <w:rsid w:val="00CE33B1"/>
    <w:rsid w:val="00CE4A5D"/>
    <w:rsid w:val="00CE5A52"/>
    <w:rsid w:val="00CE5D2A"/>
    <w:rsid w:val="00CE6D63"/>
    <w:rsid w:val="00CF1BE0"/>
    <w:rsid w:val="00D029FE"/>
    <w:rsid w:val="00D03CEF"/>
    <w:rsid w:val="00D07F70"/>
    <w:rsid w:val="00D11065"/>
    <w:rsid w:val="00D11A6D"/>
    <w:rsid w:val="00D174C6"/>
    <w:rsid w:val="00D23DCE"/>
    <w:rsid w:val="00D2526F"/>
    <w:rsid w:val="00D27B19"/>
    <w:rsid w:val="00D36031"/>
    <w:rsid w:val="00D46FF6"/>
    <w:rsid w:val="00D47AD0"/>
    <w:rsid w:val="00D53022"/>
    <w:rsid w:val="00D54C81"/>
    <w:rsid w:val="00D66B2E"/>
    <w:rsid w:val="00D67583"/>
    <w:rsid w:val="00D7345D"/>
    <w:rsid w:val="00D75FA2"/>
    <w:rsid w:val="00D764CB"/>
    <w:rsid w:val="00D84C6E"/>
    <w:rsid w:val="00D87778"/>
    <w:rsid w:val="00D9191B"/>
    <w:rsid w:val="00D9394D"/>
    <w:rsid w:val="00D96135"/>
    <w:rsid w:val="00DA525B"/>
    <w:rsid w:val="00DA69B1"/>
    <w:rsid w:val="00DA7072"/>
    <w:rsid w:val="00DA7EFC"/>
    <w:rsid w:val="00DB25D9"/>
    <w:rsid w:val="00DB3CDB"/>
    <w:rsid w:val="00DC0E25"/>
    <w:rsid w:val="00DC148F"/>
    <w:rsid w:val="00DD11A1"/>
    <w:rsid w:val="00DD7553"/>
    <w:rsid w:val="00DD7623"/>
    <w:rsid w:val="00DD76A0"/>
    <w:rsid w:val="00DE32BE"/>
    <w:rsid w:val="00DE4EE0"/>
    <w:rsid w:val="00DF06A0"/>
    <w:rsid w:val="00E10F11"/>
    <w:rsid w:val="00E138C9"/>
    <w:rsid w:val="00E160F0"/>
    <w:rsid w:val="00E220DF"/>
    <w:rsid w:val="00E2746A"/>
    <w:rsid w:val="00E36668"/>
    <w:rsid w:val="00E36C76"/>
    <w:rsid w:val="00E4343D"/>
    <w:rsid w:val="00E466A1"/>
    <w:rsid w:val="00E54F76"/>
    <w:rsid w:val="00E65DAB"/>
    <w:rsid w:val="00E669A7"/>
    <w:rsid w:val="00E70662"/>
    <w:rsid w:val="00E72811"/>
    <w:rsid w:val="00E73C5A"/>
    <w:rsid w:val="00E75222"/>
    <w:rsid w:val="00E775F2"/>
    <w:rsid w:val="00E81491"/>
    <w:rsid w:val="00E81D4B"/>
    <w:rsid w:val="00E8443E"/>
    <w:rsid w:val="00E871D3"/>
    <w:rsid w:val="00E92539"/>
    <w:rsid w:val="00E93129"/>
    <w:rsid w:val="00E95AD1"/>
    <w:rsid w:val="00E976FE"/>
    <w:rsid w:val="00EA0063"/>
    <w:rsid w:val="00EA3F13"/>
    <w:rsid w:val="00EA6E8C"/>
    <w:rsid w:val="00EC5A7E"/>
    <w:rsid w:val="00EC5ADC"/>
    <w:rsid w:val="00EC7417"/>
    <w:rsid w:val="00ED2A35"/>
    <w:rsid w:val="00ED7367"/>
    <w:rsid w:val="00EE4A8C"/>
    <w:rsid w:val="00EF3001"/>
    <w:rsid w:val="00EF3DDD"/>
    <w:rsid w:val="00F03B32"/>
    <w:rsid w:val="00F04D99"/>
    <w:rsid w:val="00F06281"/>
    <w:rsid w:val="00F20385"/>
    <w:rsid w:val="00F2219B"/>
    <w:rsid w:val="00F221CD"/>
    <w:rsid w:val="00F31DD5"/>
    <w:rsid w:val="00F3233A"/>
    <w:rsid w:val="00F34A74"/>
    <w:rsid w:val="00F34D15"/>
    <w:rsid w:val="00F36572"/>
    <w:rsid w:val="00F374AA"/>
    <w:rsid w:val="00F37781"/>
    <w:rsid w:val="00F40E83"/>
    <w:rsid w:val="00F436B8"/>
    <w:rsid w:val="00F442A9"/>
    <w:rsid w:val="00F45FDE"/>
    <w:rsid w:val="00F612C5"/>
    <w:rsid w:val="00F63C7D"/>
    <w:rsid w:val="00F6586B"/>
    <w:rsid w:val="00F65D08"/>
    <w:rsid w:val="00F673AC"/>
    <w:rsid w:val="00F7343D"/>
    <w:rsid w:val="00F75BE2"/>
    <w:rsid w:val="00F767E5"/>
    <w:rsid w:val="00F80956"/>
    <w:rsid w:val="00F80E10"/>
    <w:rsid w:val="00F82FB9"/>
    <w:rsid w:val="00F906A7"/>
    <w:rsid w:val="00F90B9E"/>
    <w:rsid w:val="00FA08A7"/>
    <w:rsid w:val="00FA1262"/>
    <w:rsid w:val="00FA145D"/>
    <w:rsid w:val="00FA48AD"/>
    <w:rsid w:val="00FA6410"/>
    <w:rsid w:val="00FB4E18"/>
    <w:rsid w:val="00FB61F2"/>
    <w:rsid w:val="00FB7530"/>
    <w:rsid w:val="00FC402D"/>
    <w:rsid w:val="00FC47B3"/>
    <w:rsid w:val="00FD0B5A"/>
    <w:rsid w:val="00FD0BE1"/>
    <w:rsid w:val="00FE2947"/>
    <w:rsid w:val="00FE52CE"/>
    <w:rsid w:val="00FE5596"/>
    <w:rsid w:val="00FE64C3"/>
    <w:rsid w:val="00FF048D"/>
    <w:rsid w:val="00FF3E1C"/>
    <w:rsid w:val="00FF6E3F"/>
    <w:rsid w:val="00FF74E0"/>
    <w:rsid w:val="24B27988"/>
    <w:rsid w:val="442D3BDA"/>
    <w:rsid w:val="46290F25"/>
    <w:rsid w:val="55A61710"/>
    <w:rsid w:val="72B04C52"/>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paragraph" w:styleId="2">
    <w:name w:val="heading 4"/>
    <w:basedOn w:val="1"/>
    <w:next w:val="1"/>
    <w:link w:val="15"/>
    <w:semiHidden/>
    <w:unhideWhenUsed/>
    <w:qFormat/>
    <w:uiPriority w:val="9"/>
    <w:pPr>
      <w:keepNext/>
      <w:spacing w:before="240" w:after="60"/>
      <w:outlineLvl w:val="3"/>
    </w:pPr>
    <w:rPr>
      <w:rFonts w:eastAsia="Times New Roman"/>
      <w:b/>
      <w:bCs/>
      <w:sz w:val="28"/>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8"/>
    <w:semiHidden/>
    <w:unhideWhenUsed/>
    <w:qFormat/>
    <w:uiPriority w:val="99"/>
    <w:pPr>
      <w:spacing w:after="0" w:line="240" w:lineRule="auto"/>
    </w:pPr>
    <w:rPr>
      <w:rFonts w:ascii="Tahoma" w:hAnsi="Tahoma"/>
      <w:sz w:val="16"/>
      <w:szCs w:val="16"/>
    </w:rPr>
  </w:style>
  <w:style w:type="paragraph" w:styleId="6">
    <w:name w:val="Body Text 2"/>
    <w:basedOn w:val="1"/>
    <w:link w:val="24"/>
    <w:unhideWhenUsed/>
    <w:qFormat/>
    <w:uiPriority w:val="0"/>
    <w:pPr>
      <w:spacing w:after="0" w:line="360" w:lineRule="auto"/>
      <w:jc w:val="both"/>
    </w:pPr>
    <w:rPr>
      <w:rFonts w:ascii="Times New Roman" w:hAnsi="Times New Roman" w:eastAsia="Times New Roman"/>
      <w:b/>
      <w:bCs/>
      <w:sz w:val="24"/>
      <w:szCs w:val="24"/>
      <w:lang w:val="ro-RO"/>
    </w:rPr>
  </w:style>
  <w:style w:type="character" w:styleId="7">
    <w:name w:val="annotation reference"/>
    <w:semiHidden/>
    <w:qFormat/>
    <w:uiPriority w:val="0"/>
    <w:rPr>
      <w:sz w:val="16"/>
      <w:szCs w:val="16"/>
    </w:rPr>
  </w:style>
  <w:style w:type="paragraph" w:styleId="8">
    <w:name w:val="annotation text"/>
    <w:basedOn w:val="1"/>
    <w:semiHidden/>
    <w:qFormat/>
    <w:uiPriority w:val="0"/>
    <w:rPr>
      <w:sz w:val="20"/>
      <w:szCs w:val="20"/>
    </w:rPr>
  </w:style>
  <w:style w:type="paragraph" w:styleId="9">
    <w:name w:val="annotation subject"/>
    <w:basedOn w:val="8"/>
    <w:next w:val="8"/>
    <w:semiHidden/>
    <w:qFormat/>
    <w:uiPriority w:val="0"/>
    <w:rPr>
      <w:b/>
      <w:bCs/>
    </w:rPr>
  </w:style>
  <w:style w:type="paragraph" w:styleId="10">
    <w:name w:val="footer"/>
    <w:basedOn w:val="1"/>
    <w:link w:val="17"/>
    <w:unhideWhenUsed/>
    <w:qFormat/>
    <w:uiPriority w:val="99"/>
    <w:pPr>
      <w:tabs>
        <w:tab w:val="center" w:pos="4680"/>
        <w:tab w:val="right" w:pos="9360"/>
      </w:tabs>
      <w:spacing w:after="0" w:line="240" w:lineRule="auto"/>
    </w:pPr>
  </w:style>
  <w:style w:type="paragraph" w:styleId="11">
    <w:name w:val="header"/>
    <w:basedOn w:val="1"/>
    <w:link w:val="16"/>
    <w:unhideWhenUsed/>
    <w:qFormat/>
    <w:uiPriority w:val="99"/>
    <w:pPr>
      <w:tabs>
        <w:tab w:val="center" w:pos="4680"/>
        <w:tab w:val="right" w:pos="9360"/>
      </w:tabs>
      <w:spacing w:after="0" w:line="240" w:lineRule="auto"/>
    </w:pPr>
  </w:style>
  <w:style w:type="character" w:styleId="12">
    <w:name w:val="Hyperlink"/>
    <w:unhideWhenUsed/>
    <w:qFormat/>
    <w:uiPriority w:val="99"/>
    <w:rPr>
      <w:color w:val="0000FF"/>
      <w:u w:val="single"/>
    </w:rPr>
  </w:style>
  <w:style w:type="paragraph" w:styleId="13">
    <w:name w:val="Normal (Web)"/>
    <w:basedOn w:val="1"/>
    <w:semiHidden/>
    <w:unhideWhenUsed/>
    <w:qFormat/>
    <w:uiPriority w:val="99"/>
    <w:pPr>
      <w:spacing w:before="100" w:beforeAutospacing="1" w:after="100" w:afterAutospacing="1" w:line="240" w:lineRule="auto"/>
    </w:pPr>
    <w:rPr>
      <w:rFonts w:ascii="Times New Roman" w:hAnsi="Times New Roman" w:eastAsia="Times New Roman"/>
      <w:sz w:val="24"/>
      <w:szCs w:val="24"/>
    </w:rPr>
  </w:style>
  <w:style w:type="table" w:styleId="14">
    <w:name w:val="Table Grid"/>
    <w:basedOn w:val="4"/>
    <w:qFormat/>
    <w:uiPriority w:val="0"/>
    <w:pPr>
      <w:spacing w:after="200" w:line="276"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Titlu 4 Caracter"/>
    <w:basedOn w:val="3"/>
    <w:link w:val="2"/>
    <w:semiHidden/>
    <w:qFormat/>
    <w:uiPriority w:val="9"/>
    <w:rPr>
      <w:rFonts w:eastAsia="Times New Roman"/>
      <w:b/>
      <w:bCs/>
      <w:sz w:val="28"/>
      <w:szCs w:val="28"/>
      <w:lang w:val="en-US" w:eastAsia="en-US"/>
    </w:rPr>
  </w:style>
  <w:style w:type="character" w:customStyle="1" w:styleId="16">
    <w:name w:val="Antet Caracter"/>
    <w:basedOn w:val="3"/>
    <w:link w:val="11"/>
    <w:qFormat/>
    <w:uiPriority w:val="99"/>
  </w:style>
  <w:style w:type="character" w:customStyle="1" w:styleId="17">
    <w:name w:val="Subsol Caracter"/>
    <w:basedOn w:val="3"/>
    <w:link w:val="10"/>
    <w:qFormat/>
    <w:uiPriority w:val="99"/>
  </w:style>
  <w:style w:type="character" w:customStyle="1" w:styleId="18">
    <w:name w:val="Text în Balon Caracter"/>
    <w:link w:val="5"/>
    <w:semiHidden/>
    <w:qFormat/>
    <w:uiPriority w:val="99"/>
    <w:rPr>
      <w:rFonts w:ascii="Tahoma" w:hAnsi="Tahoma" w:cs="Tahoma"/>
      <w:sz w:val="16"/>
      <w:szCs w:val="16"/>
    </w:rPr>
  </w:style>
  <w:style w:type="paragraph" w:customStyle="1" w:styleId="19">
    <w:name w:val="Fără spațiere1"/>
    <w:qFormat/>
    <w:uiPriority w:val="0"/>
    <w:rPr>
      <w:rFonts w:ascii="Calibri" w:hAnsi="Calibri" w:eastAsia="Times New Roman" w:cs="Times New Roman"/>
      <w:sz w:val="22"/>
      <w:szCs w:val="22"/>
      <w:lang w:val="en-AU" w:eastAsia="en-AU" w:bidi="ar-SA"/>
    </w:rPr>
  </w:style>
  <w:style w:type="paragraph" w:customStyle="1" w:styleId="20">
    <w:name w:val="Listaszerű bekezdés1"/>
    <w:basedOn w:val="1"/>
    <w:qFormat/>
    <w:uiPriority w:val="34"/>
    <w:pPr>
      <w:ind w:left="720"/>
      <w:contextualSpacing/>
    </w:pPr>
  </w:style>
  <w:style w:type="paragraph" w:styleId="21">
    <w:name w:val="No Spacing"/>
    <w:qFormat/>
    <w:uiPriority w:val="1"/>
    <w:rPr>
      <w:rFonts w:ascii="Calibri" w:hAnsi="Calibri" w:eastAsia="Calibri" w:cs="Times New Roman"/>
      <w:sz w:val="22"/>
      <w:szCs w:val="22"/>
      <w:lang w:val="en-US" w:eastAsia="en-US" w:bidi="ar-SA"/>
    </w:rPr>
  </w:style>
  <w:style w:type="paragraph" w:customStyle="1" w:styleId="22">
    <w:name w:val="Default"/>
    <w:qFormat/>
    <w:uiPriority w:val="0"/>
    <w:pPr>
      <w:autoSpaceDE w:val="0"/>
      <w:autoSpaceDN w:val="0"/>
      <w:adjustRightInd w:val="0"/>
    </w:pPr>
    <w:rPr>
      <w:rFonts w:ascii="Times New Roman" w:hAnsi="Times New Roman" w:eastAsia="Calibri" w:cs="Times New Roman"/>
      <w:color w:val="000000"/>
      <w:sz w:val="24"/>
      <w:szCs w:val="24"/>
      <w:lang w:val="ro-RO" w:eastAsia="ro-RO" w:bidi="ar-SA"/>
    </w:rPr>
  </w:style>
  <w:style w:type="paragraph" w:styleId="23">
    <w:name w:val="List Paragraph"/>
    <w:basedOn w:val="1"/>
    <w:qFormat/>
    <w:uiPriority w:val="34"/>
    <w:pPr>
      <w:ind w:left="720"/>
      <w:contextualSpacing/>
    </w:pPr>
    <w:rPr>
      <w:lang w:val="ro-RO"/>
    </w:rPr>
  </w:style>
  <w:style w:type="character" w:customStyle="1" w:styleId="24">
    <w:name w:val="Corp text 2 Caracter"/>
    <w:basedOn w:val="3"/>
    <w:link w:val="6"/>
    <w:qFormat/>
    <w:uiPriority w:val="0"/>
    <w:rPr>
      <w:rFonts w:ascii="Times New Roman" w:hAnsi="Times New Roman" w:eastAsia="Times New Roman"/>
      <w:b/>
      <w:bCs/>
      <w:sz w:val="24"/>
      <w:szCs w:val="24"/>
    </w:rPr>
  </w:style>
  <w:style w:type="paragraph" w:customStyle="1" w:styleId="25">
    <w:name w:val="Fără spațiere11"/>
    <w:qFormat/>
    <w:uiPriority w:val="0"/>
    <w:rPr>
      <w:rFonts w:ascii="Calibri" w:hAnsi="Calibri" w:eastAsia="Times New Roman" w:cs="Times New Roman"/>
      <w:sz w:val="22"/>
      <w:szCs w:val="22"/>
      <w:lang w:val="en-AU" w:eastAsia="en-AU" w:bidi="ar-SA"/>
    </w:rPr>
  </w:style>
  <w:style w:type="paragraph" w:customStyle="1" w:styleId="26">
    <w:name w:val="xl65"/>
    <w:basedOn w:val="1"/>
    <w:qFormat/>
    <w:uiPriority w:val="0"/>
    <w:pPr>
      <w:spacing w:before="100" w:beforeAutospacing="1" w:after="100" w:afterAutospacing="1" w:line="240" w:lineRule="auto"/>
      <w:jc w:val="center"/>
      <w:textAlignment w:val="center"/>
    </w:pPr>
    <w:rPr>
      <w:rFonts w:ascii="Times New Roman" w:hAnsi="Times New Roman" w:eastAsia="Times New Roman"/>
      <w:sz w:val="24"/>
      <w:szCs w:val="24"/>
      <w:lang w:val="ro-RO" w:eastAsia="ro-RO"/>
    </w:rPr>
  </w:style>
  <w:style w:type="paragraph" w:customStyle="1" w:styleId="27">
    <w:name w:val="xl66"/>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b/>
      <w:bCs/>
      <w:sz w:val="24"/>
      <w:szCs w:val="24"/>
      <w:lang w:val="ro-RO" w:eastAsia="ro-RO"/>
    </w:rPr>
  </w:style>
  <w:style w:type="paragraph" w:customStyle="1" w:styleId="28">
    <w:name w:val="xl67"/>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pPr>
    <w:rPr>
      <w:rFonts w:ascii="Times New Roman" w:hAnsi="Times New Roman" w:eastAsia="Times New Roman"/>
      <w:b/>
      <w:bCs/>
      <w:sz w:val="24"/>
      <w:szCs w:val="24"/>
      <w:lang w:val="ro-RO" w:eastAsia="ro-RO"/>
    </w:rPr>
  </w:style>
  <w:style w:type="paragraph" w:customStyle="1" w:styleId="29">
    <w:name w:val="xl68"/>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sz w:val="24"/>
      <w:szCs w:val="24"/>
      <w:lang w:val="ro-RO" w:eastAsia="ro-RO"/>
    </w:rPr>
  </w:style>
  <w:style w:type="paragraph" w:customStyle="1" w:styleId="30">
    <w:name w:val="xl6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Times New Roman" w:hAnsi="Times New Roman" w:eastAsia="Times New Roman"/>
      <w:sz w:val="24"/>
      <w:szCs w:val="24"/>
      <w:lang w:val="ro-RO" w:eastAsia="ro-RO"/>
    </w:rPr>
  </w:style>
  <w:style w:type="paragraph" w:customStyle="1" w:styleId="31">
    <w:name w:val="xl7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Times New Roman" w:hAnsi="Times New Roman" w:eastAsia="Times New Roman"/>
      <w:sz w:val="20"/>
      <w:szCs w:val="20"/>
      <w:lang w:val="ro-RO" w:eastAsia="ro-RO"/>
    </w:rPr>
  </w:style>
  <w:style w:type="paragraph" w:customStyle="1" w:styleId="32">
    <w:name w:val="msonormal"/>
    <w:basedOn w:val="1"/>
    <w:qFormat/>
    <w:uiPriority w:val="0"/>
    <w:pPr>
      <w:spacing w:before="100" w:beforeAutospacing="1" w:after="100" w:afterAutospacing="1" w:line="240" w:lineRule="auto"/>
    </w:pPr>
    <w:rPr>
      <w:rFonts w:ascii="Times New Roman" w:hAnsi="Times New Roman" w:eastAsia="Times New Roman"/>
      <w:sz w:val="24"/>
      <w:szCs w:val="24"/>
    </w:rPr>
  </w:style>
  <w:style w:type="character" w:customStyle="1" w:styleId="33">
    <w:name w:val="Mențiune Nerezolvat1"/>
    <w:basedOn w:val="3"/>
    <w:semiHidden/>
    <w:unhideWhenUsed/>
    <w:qFormat/>
    <w:uiPriority w:val="99"/>
    <w:rPr>
      <w:color w:val="605E5C"/>
      <w:shd w:val="clear" w:color="auto" w:fill="E1DFDD"/>
    </w:rPr>
  </w:style>
  <w:style w:type="paragraph" w:customStyle="1" w:styleId="34">
    <w:name w:val="paragraph"/>
    <w:basedOn w:val="1"/>
    <w:qFormat/>
    <w:uiPriority w:val="0"/>
    <w:pPr>
      <w:spacing w:before="100" w:beforeAutospacing="1" w:after="100" w:afterAutospacing="1" w:line="240" w:lineRule="auto"/>
    </w:pPr>
    <w:rPr>
      <w:rFonts w:ascii="Times New Roman" w:hAnsi="Times New Roman" w:eastAsia="Times New Roman"/>
      <w:sz w:val="24"/>
      <w:szCs w:val="24"/>
    </w:rPr>
  </w:style>
  <w:style w:type="character" w:customStyle="1" w:styleId="35">
    <w:name w:val="spellingerror"/>
    <w:basedOn w:val="3"/>
    <w:qFormat/>
    <w:uiPriority w:val="0"/>
  </w:style>
  <w:style w:type="character" w:customStyle="1" w:styleId="36">
    <w:name w:val="normaltextrun"/>
    <w:basedOn w:val="3"/>
    <w:qFormat/>
    <w:uiPriority w:val="0"/>
  </w:style>
  <w:style w:type="character" w:customStyle="1" w:styleId="37">
    <w:name w:val="eop"/>
    <w:basedOn w:val="3"/>
    <w:qFormat/>
    <w:uiPriority w:val="0"/>
  </w:style>
  <w:style w:type="paragraph" w:customStyle="1" w:styleId="38">
    <w:name w:val="Standard"/>
    <w:qFormat/>
    <w:uiPriority w:val="0"/>
    <w:pPr>
      <w:suppressAutoHyphens/>
      <w:autoSpaceDN w:val="0"/>
      <w:textAlignment w:val="baseline"/>
    </w:pPr>
    <w:rPr>
      <w:rFonts w:ascii="Times New Roman" w:hAnsi="Times New Roman" w:eastAsia="NSimSun" w:cs="Arial"/>
      <w:kern w:val="3"/>
      <w:sz w:val="24"/>
      <w:szCs w:val="24"/>
      <w:lang w:val="en-US" w:eastAsia="zh-CN" w:bidi="hi-I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636D5-B44C-48C7-9760-F4A128AE3978}">
  <ds:schemaRefs/>
</ds:datastoreItem>
</file>

<file path=docProps/app.xml><?xml version="1.0" encoding="utf-8"?>
<Properties xmlns="http://schemas.openxmlformats.org/officeDocument/2006/extended-properties" xmlns:vt="http://schemas.openxmlformats.org/officeDocument/2006/docPropsVTypes">
  <Template>Normal.dotm</Template>
  <Company>AD Hoc</Company>
  <Pages>7</Pages>
  <Words>2153</Words>
  <Characters>14721</Characters>
  <Lines>120</Lines>
  <Paragraphs>33</Paragraphs>
  <TotalTime>0</TotalTime>
  <ScaleCrop>false</ScaleCrop>
  <LinksUpToDate>false</LinksUpToDate>
  <CharactersWithSpaces>16767</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2026-08-14T10:06:00Z</dcterms:created>
  <dc:creator>Raluca</dc:creator>
  <cp:lastModifiedBy>ISJBH</cp:lastModifiedBy>
  <cp:lastPrinted>2025-01-16T14:28:00Z</cp:lastPrinted>
  <dcterms:modified xsi:type="dcterms:W3CDTF">2026-08-14T10:17:45Z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eyJoZGlkIjoiNTI3YTM5M2EzMzg2Nzg1YjVhYzlmMTQ5YWE4MmJjNjAifQ==</vt:lpwstr>
  </property>
  <property fmtid="{D5CDD505-2E9C-101B-9397-08002B2CF9AE}" pid="3" name="KSOProductBuildVer">
    <vt:lpwstr>1033-12.1.0.28032</vt:lpwstr>
  </property>
  <property fmtid="{D5CDD505-2E9C-101B-9397-08002B2CF9AE}" pid="4" name="ICV">
    <vt:lpwstr>94F8FE3695054CC087EA78E20A986611_13</vt:lpwstr>
  </property>
</Properties>
</file>